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718CAD" w14:textId="3EF5804C" w:rsidR="00B31912" w:rsidRDefault="00B31912" w:rsidP="00B31912">
      <w:pPr>
        <w:pStyle w:val="NoSpacing"/>
        <w:rPr>
          <w:b/>
          <w:bCs/>
          <w:sz w:val="24"/>
          <w:szCs w:val="24"/>
        </w:rPr>
      </w:pPr>
      <w:r w:rsidRPr="00CD5EC6">
        <w:rPr>
          <w:b/>
          <w:bCs/>
          <w:sz w:val="24"/>
          <w:szCs w:val="24"/>
        </w:rPr>
        <w:t>3GPP TSG RAN WG1 #11</w:t>
      </w:r>
      <w:r w:rsidR="00B93DA4">
        <w:rPr>
          <w:b/>
          <w:bCs/>
          <w:sz w:val="24"/>
          <w:szCs w:val="24"/>
        </w:rPr>
        <w:t>3</w:t>
      </w:r>
      <w:r>
        <w:tab/>
      </w:r>
      <w:r>
        <w:tab/>
      </w:r>
      <w:r>
        <w:tab/>
      </w:r>
      <w:r>
        <w:tab/>
      </w:r>
      <w:r>
        <w:tab/>
      </w:r>
      <w:r>
        <w:tab/>
      </w:r>
      <w:r>
        <w:rPr>
          <w:b/>
          <w:bCs/>
          <w:sz w:val="24"/>
          <w:szCs w:val="24"/>
        </w:rPr>
        <w:t xml:space="preserve">                      </w:t>
      </w:r>
      <w:r w:rsidR="00B93DA4" w:rsidRPr="00B93DA4">
        <w:rPr>
          <w:b/>
          <w:bCs/>
          <w:sz w:val="24"/>
          <w:szCs w:val="24"/>
        </w:rPr>
        <w:t>R1-2304948</w:t>
      </w:r>
    </w:p>
    <w:p w14:paraId="4B7D8140" w14:textId="77777777" w:rsidR="00B93DA4" w:rsidRDefault="00B93DA4" w:rsidP="00B93DA4">
      <w:pPr>
        <w:ind w:left="1800" w:hanging="1800"/>
        <w:rPr>
          <w:b/>
          <w:sz w:val="24"/>
          <w:szCs w:val="24"/>
        </w:rPr>
      </w:pPr>
      <w:r w:rsidRPr="00C93178">
        <w:rPr>
          <w:b/>
          <w:sz w:val="24"/>
          <w:szCs w:val="24"/>
        </w:rPr>
        <w:t xml:space="preserve">Incheon, Korea, May 22-26, 2023 </w:t>
      </w:r>
    </w:p>
    <w:p w14:paraId="740DF172" w14:textId="77777777" w:rsidR="00D07305" w:rsidRDefault="00D07305" w:rsidP="00B31912">
      <w:pPr>
        <w:ind w:left="1800" w:hanging="1800"/>
        <w:rPr>
          <w:b/>
          <w:sz w:val="24"/>
          <w:szCs w:val="24"/>
        </w:rPr>
      </w:pPr>
    </w:p>
    <w:p w14:paraId="2CBE9054" w14:textId="77777777" w:rsidR="00B31912" w:rsidRPr="00212204" w:rsidRDefault="00B31912" w:rsidP="00B31912">
      <w:pPr>
        <w:ind w:left="1800" w:hanging="1800"/>
        <w:rPr>
          <w:b/>
          <w:sz w:val="24"/>
          <w:szCs w:val="24"/>
        </w:rPr>
      </w:pPr>
      <w:r w:rsidRPr="00212204">
        <w:rPr>
          <w:b/>
          <w:sz w:val="24"/>
          <w:szCs w:val="24"/>
        </w:rPr>
        <w:t>Agenda Item:</w:t>
      </w:r>
      <w:r w:rsidRPr="00212204">
        <w:rPr>
          <w:sz w:val="24"/>
          <w:szCs w:val="24"/>
        </w:rPr>
        <w:tab/>
      </w:r>
      <w:bookmarkStart w:id="0" w:name="Source"/>
      <w:bookmarkEnd w:id="0"/>
      <w:r>
        <w:rPr>
          <w:b/>
          <w:sz w:val="24"/>
          <w:szCs w:val="24"/>
        </w:rPr>
        <w:t>9.2.2.1</w:t>
      </w:r>
    </w:p>
    <w:p w14:paraId="25B3BE1C" w14:textId="77777777" w:rsidR="00B31912" w:rsidRPr="00212204" w:rsidRDefault="00B31912" w:rsidP="00B31912">
      <w:pPr>
        <w:ind w:left="1800" w:hanging="1800"/>
        <w:rPr>
          <w:sz w:val="24"/>
          <w:szCs w:val="24"/>
        </w:rPr>
      </w:pPr>
      <w:r w:rsidRPr="00212204">
        <w:rPr>
          <w:b/>
          <w:sz w:val="24"/>
          <w:szCs w:val="24"/>
        </w:rPr>
        <w:t>Source:</w:t>
      </w:r>
      <w:r w:rsidRPr="00212204">
        <w:rPr>
          <w:b/>
          <w:sz w:val="24"/>
          <w:szCs w:val="24"/>
        </w:rPr>
        <w:tab/>
        <w:t>AT&amp;T</w:t>
      </w:r>
    </w:p>
    <w:p w14:paraId="7B90F89B" w14:textId="77777777" w:rsidR="00B31912" w:rsidRDefault="00B31912" w:rsidP="00B31912">
      <w:pPr>
        <w:ind w:left="1800" w:hanging="1800"/>
        <w:rPr>
          <w:b/>
          <w:bCs/>
          <w:sz w:val="24"/>
          <w:szCs w:val="24"/>
        </w:rPr>
      </w:pPr>
      <w:r w:rsidRPr="00212204">
        <w:rPr>
          <w:b/>
          <w:sz w:val="24"/>
          <w:szCs w:val="24"/>
        </w:rPr>
        <w:t>Title:</w:t>
      </w:r>
      <w:r w:rsidRPr="00212204">
        <w:rPr>
          <w:sz w:val="24"/>
          <w:szCs w:val="24"/>
        </w:rPr>
        <w:tab/>
      </w:r>
      <w:r w:rsidRPr="00C855D9">
        <w:rPr>
          <w:b/>
          <w:bCs/>
          <w:sz w:val="24"/>
          <w:szCs w:val="24"/>
        </w:rPr>
        <w:t>Discussion on AI/ML for CSI feedback enhancement</w:t>
      </w:r>
    </w:p>
    <w:p w14:paraId="039E5A9B" w14:textId="77777777" w:rsidR="00B31912" w:rsidRPr="000052FF" w:rsidRDefault="00B31912" w:rsidP="00B31912">
      <w:pPr>
        <w:ind w:left="1800" w:hanging="1800"/>
        <w:rPr>
          <w:b/>
          <w:sz w:val="21"/>
          <w:szCs w:val="21"/>
        </w:rPr>
      </w:pPr>
      <w:r w:rsidRPr="00212204">
        <w:rPr>
          <w:b/>
          <w:sz w:val="24"/>
          <w:szCs w:val="24"/>
        </w:rPr>
        <w:t>Document for:</w:t>
      </w:r>
      <w:r w:rsidRPr="00212204">
        <w:rPr>
          <w:sz w:val="24"/>
          <w:szCs w:val="24"/>
        </w:rPr>
        <w:tab/>
      </w:r>
      <w:bookmarkStart w:id="1" w:name="DocumentFor"/>
      <w:bookmarkEnd w:id="1"/>
      <w:r w:rsidRPr="00212204">
        <w:rPr>
          <w:b/>
          <w:sz w:val="24"/>
          <w:szCs w:val="24"/>
        </w:rPr>
        <w:t>Discussion/Approval</w:t>
      </w:r>
    </w:p>
    <w:p w14:paraId="6D06AF5E" w14:textId="77777777" w:rsidR="00B31912" w:rsidRPr="00A11840" w:rsidRDefault="00B31912" w:rsidP="00B31912">
      <w:pPr>
        <w:pStyle w:val="NoSpacing"/>
        <w:jc w:val="left"/>
        <w:rPr>
          <w:sz w:val="16"/>
          <w:szCs w:val="16"/>
        </w:rPr>
      </w:pPr>
    </w:p>
    <w:p w14:paraId="348298CB" w14:textId="77777777" w:rsidR="00B31912" w:rsidRPr="00172743" w:rsidRDefault="00B31912" w:rsidP="00B31912">
      <w:pPr>
        <w:pStyle w:val="Heading1"/>
      </w:pPr>
      <w:r w:rsidRPr="00172743">
        <w:t>Introduction</w:t>
      </w:r>
    </w:p>
    <w:p w14:paraId="112C701A" w14:textId="77777777" w:rsidR="00B31912" w:rsidRDefault="00B31912" w:rsidP="00B31912">
      <w:pPr>
        <w:pStyle w:val="maintext"/>
        <w:ind w:firstLineChars="0" w:firstLine="0"/>
        <w:rPr>
          <w:rFonts w:ascii="Calibri" w:hAnsi="Calibri"/>
        </w:rPr>
      </w:pPr>
      <w:r>
        <w:rPr>
          <w:rFonts w:ascii="Calibri" w:hAnsi="Calibri"/>
        </w:rPr>
        <w:t>As part of</w:t>
      </w:r>
      <w:r w:rsidRPr="00C724F1">
        <w:rPr>
          <w:rFonts w:ascii="Calibri" w:hAnsi="Calibri"/>
        </w:rPr>
        <w:t xml:space="preserve"> </w:t>
      </w:r>
      <w:r>
        <w:rPr>
          <w:rFonts w:ascii="Calibri" w:hAnsi="Calibri"/>
        </w:rPr>
        <w:t>Rel-18 Study</w:t>
      </w:r>
      <w:r w:rsidRPr="00C724F1">
        <w:rPr>
          <w:rFonts w:ascii="Calibri" w:hAnsi="Calibri"/>
        </w:rPr>
        <w:t xml:space="preserve"> Item on</w:t>
      </w:r>
      <w:r>
        <w:rPr>
          <w:rFonts w:ascii="Calibri" w:hAnsi="Calibri"/>
        </w:rPr>
        <w:t xml:space="preserve"> </w:t>
      </w:r>
      <w:r w:rsidRPr="00AC75A5">
        <w:rPr>
          <w:rFonts w:ascii="Calibri" w:hAnsi="Calibri"/>
        </w:rPr>
        <w:t>Artificial Intelligence (AI)/Machine Learning (ML) for NR Air Interface</w:t>
      </w:r>
      <w:r w:rsidRPr="00C724F1">
        <w:rPr>
          <w:rFonts w:ascii="Calibri" w:hAnsi="Calibri"/>
        </w:rPr>
        <w:t xml:space="preserve"> [1], 3GPP has agreed </w:t>
      </w:r>
      <w:r>
        <w:rPr>
          <w:rFonts w:ascii="Calibri" w:hAnsi="Calibri"/>
        </w:rPr>
        <w:t>to study the framework for AI/ML for air-interface corresponding to target use cases considering aspects such as performance, complexity, and potential specification aspects. One of the identified use cases include:</w:t>
      </w:r>
    </w:p>
    <w:p w14:paraId="70D54C71" w14:textId="77777777" w:rsidR="00B31912" w:rsidRPr="009B5F13" w:rsidRDefault="00B31912" w:rsidP="00B31912">
      <w:pPr>
        <w:numPr>
          <w:ilvl w:val="1"/>
          <w:numId w:val="2"/>
        </w:numPr>
        <w:overflowPunct w:val="0"/>
        <w:autoSpaceDE w:val="0"/>
        <w:autoSpaceDN w:val="0"/>
        <w:adjustRightInd w:val="0"/>
        <w:spacing w:before="0" w:after="0"/>
        <w:textAlignment w:val="baseline"/>
        <w:rPr>
          <w:bCs/>
        </w:rPr>
      </w:pPr>
      <w:r w:rsidRPr="009B5F13">
        <w:rPr>
          <w:bCs/>
        </w:rPr>
        <w:t>CSI feedback enhancement, e.g., overhead reduction, improved accuracy, prediction [RAN1]</w:t>
      </w:r>
    </w:p>
    <w:p w14:paraId="41E27154" w14:textId="77777777" w:rsidR="00B31912" w:rsidRDefault="00B31912" w:rsidP="00B31912">
      <w:pPr>
        <w:pStyle w:val="maintext"/>
        <w:ind w:firstLineChars="0" w:firstLine="0"/>
        <w:rPr>
          <w:rFonts w:ascii="Calibri" w:hAnsi="Calibri"/>
        </w:rPr>
      </w:pPr>
      <w:r>
        <w:rPr>
          <w:rFonts w:ascii="Calibri" w:hAnsi="Calibri"/>
        </w:rPr>
        <w:t xml:space="preserve">For each of the use cases, one of the objectives is to </w:t>
      </w:r>
    </w:p>
    <w:p w14:paraId="27227B1C" w14:textId="77777777" w:rsidR="00B31912" w:rsidRDefault="00B31912" w:rsidP="00B31912">
      <w:pPr>
        <w:numPr>
          <w:ilvl w:val="0"/>
          <w:numId w:val="2"/>
        </w:numPr>
        <w:overflowPunct w:val="0"/>
        <w:autoSpaceDE w:val="0"/>
        <w:autoSpaceDN w:val="0"/>
        <w:adjustRightInd w:val="0"/>
        <w:spacing w:before="0"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70D9A19C" w14:textId="77777777" w:rsidR="00B31912" w:rsidRDefault="00B31912" w:rsidP="00B31912">
      <w:pPr>
        <w:numPr>
          <w:ilvl w:val="1"/>
          <w:numId w:val="2"/>
        </w:numPr>
        <w:overflowPunct w:val="0"/>
        <w:autoSpaceDE w:val="0"/>
        <w:autoSpaceDN w:val="0"/>
        <w:adjustRightInd w:val="0"/>
        <w:spacing w:before="0"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6819BF9A" w14:textId="77777777" w:rsidR="00B31912" w:rsidRPr="008E5E15" w:rsidRDefault="00B31912" w:rsidP="00B31912">
      <w:pPr>
        <w:overflowPunct w:val="0"/>
        <w:autoSpaceDE w:val="0"/>
        <w:autoSpaceDN w:val="0"/>
        <w:adjustRightInd w:val="0"/>
        <w:spacing w:before="0" w:after="0"/>
        <w:textAlignment w:val="baseline"/>
        <w:rPr>
          <w:bCs/>
        </w:rPr>
      </w:pPr>
    </w:p>
    <w:p w14:paraId="7FA14AEC" w14:textId="48A96CE6" w:rsidR="006C5C14" w:rsidRDefault="001B4BCA" w:rsidP="006C5C14">
      <w:pPr>
        <w:rPr>
          <w:rFonts w:ascii="Calibri" w:eastAsia="Malgun Gothic" w:hAnsi="Calibri" w:cs="Batang"/>
          <w:lang w:val="en-GB" w:eastAsia="ko-KR"/>
        </w:rPr>
      </w:pPr>
      <w:r>
        <w:rPr>
          <w:rFonts w:ascii="Calibri" w:eastAsia="Malgun Gothic" w:hAnsi="Calibri" w:cs="Batang"/>
          <w:lang w:val="en-GB" w:eastAsia="ko-KR"/>
        </w:rPr>
        <w:t xml:space="preserve">This contribution discusses the evaluation aspects of the AI/ML framework for CSI enhancements, specifically the open issues regarding the evaluations and LCM. </w:t>
      </w:r>
      <w:bookmarkStart w:id="2" w:name="_Hlk127521107"/>
    </w:p>
    <w:p w14:paraId="26C39FC1" w14:textId="77777777" w:rsidR="00430B4C" w:rsidRPr="00430B4C" w:rsidRDefault="00430B4C" w:rsidP="006C5C14">
      <w:pPr>
        <w:rPr>
          <w:rFonts w:ascii="Calibri" w:eastAsia="Malgun Gothic" w:hAnsi="Calibri" w:cs="Batang"/>
          <w:lang w:val="en-GB" w:eastAsia="ko-KR"/>
        </w:rPr>
      </w:pPr>
    </w:p>
    <w:bookmarkEnd w:id="2"/>
    <w:p w14:paraId="2DE74907" w14:textId="77777777" w:rsidR="0053513D" w:rsidRDefault="0053513D" w:rsidP="0053513D">
      <w:pPr>
        <w:pStyle w:val="Heading1"/>
      </w:pPr>
      <w:r>
        <w:t>CSI compression</w:t>
      </w:r>
    </w:p>
    <w:p w14:paraId="006CC84D" w14:textId="4E0B682B" w:rsidR="007F4639" w:rsidRDefault="00883D1B" w:rsidP="007F4639">
      <w:pPr>
        <w:pStyle w:val="maintext"/>
        <w:ind w:firstLineChars="0" w:firstLine="0"/>
        <w:rPr>
          <w:rFonts w:ascii="Calibri" w:hAnsi="Calibri"/>
        </w:rPr>
      </w:pPr>
      <w:r>
        <w:rPr>
          <w:rFonts w:ascii="Calibri" w:hAnsi="Calibri"/>
        </w:rPr>
        <w:t xml:space="preserve"> </w:t>
      </w:r>
    </w:p>
    <w:p w14:paraId="26A822F9" w14:textId="3203457F" w:rsidR="00883D1B" w:rsidRDefault="00883D1B" w:rsidP="007F4639">
      <w:pPr>
        <w:pStyle w:val="maintext"/>
        <w:ind w:firstLineChars="0" w:firstLine="0"/>
        <w:rPr>
          <w:rFonts w:ascii="Calibri" w:hAnsi="Calibri"/>
        </w:rPr>
      </w:pPr>
      <w:r>
        <w:rPr>
          <w:rFonts w:ascii="Calibri" w:hAnsi="Calibri"/>
        </w:rPr>
        <w:t>In RAN1#110</w:t>
      </w:r>
      <w:r w:rsidR="00EA26AC">
        <w:rPr>
          <w:rFonts w:ascii="Calibri" w:hAnsi="Calibri"/>
        </w:rPr>
        <w:t>[3]</w:t>
      </w:r>
      <w:r>
        <w:rPr>
          <w:rFonts w:ascii="Calibri" w:hAnsi="Calibri"/>
        </w:rPr>
        <w:t xml:space="preserve"> it was agreed that</w:t>
      </w:r>
    </w:p>
    <w:p w14:paraId="21861BD9" w14:textId="77777777" w:rsidR="00883D1B" w:rsidRDefault="00883D1B" w:rsidP="00883D1B">
      <w:pPr>
        <w:rPr>
          <w:highlight w:val="green"/>
          <w:lang w:eastAsia="zh-CN"/>
        </w:rPr>
      </w:pPr>
      <w:r>
        <w:rPr>
          <w:highlight w:val="green"/>
          <w:lang w:eastAsia="zh-CN"/>
        </w:rPr>
        <w:t>Agreement</w:t>
      </w:r>
    </w:p>
    <w:p w14:paraId="30E70510" w14:textId="77777777" w:rsidR="00883D1B" w:rsidRDefault="00883D1B" w:rsidP="00883D1B">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29B9F741" w14:textId="77777777" w:rsidR="00883D1B" w:rsidRDefault="00883D1B" w:rsidP="00883D1B">
      <w:pPr>
        <w:pStyle w:val="ListParagraph"/>
        <w:numPr>
          <w:ilvl w:val="0"/>
          <w:numId w:val="10"/>
        </w:numPr>
        <w:overflowPunct w:val="0"/>
        <w:autoSpaceDE w:val="0"/>
        <w:autoSpaceDN w:val="0"/>
        <w:adjustRightInd w:val="0"/>
        <w:spacing w:before="0" w:after="180"/>
        <w:jc w:val="left"/>
        <w:textAlignment w:val="baseline"/>
        <w:rPr>
          <w:lang w:eastAsia="zh-CN"/>
        </w:rPr>
      </w:pPr>
      <w:r>
        <w:rPr>
          <w:lang w:eastAsia="zh-CN"/>
        </w:rPr>
        <w:t>Various deployment scenarios (e.g., UMa, UMi, InH)</w:t>
      </w:r>
    </w:p>
    <w:p w14:paraId="5E4F342E" w14:textId="77777777" w:rsidR="00883D1B" w:rsidRDefault="00883D1B" w:rsidP="00883D1B">
      <w:pPr>
        <w:pStyle w:val="ListParagraph"/>
        <w:numPr>
          <w:ilvl w:val="0"/>
          <w:numId w:val="10"/>
        </w:numPr>
        <w:overflowPunct w:val="0"/>
        <w:autoSpaceDE w:val="0"/>
        <w:autoSpaceDN w:val="0"/>
        <w:adjustRightInd w:val="0"/>
        <w:spacing w:before="0" w:after="180"/>
        <w:jc w:val="left"/>
        <w:textAlignment w:val="baseline"/>
        <w:rPr>
          <w:lang w:eastAsia="zh-CN"/>
        </w:rPr>
      </w:pPr>
      <w:r>
        <w:rPr>
          <w:lang w:eastAsia="zh-CN"/>
        </w:rPr>
        <w:t>Various outdoor/indoor UE distributions for UMa/UMi (e.g., 10:0, 8:2, 5:5, 2:8, 0:10)</w:t>
      </w:r>
    </w:p>
    <w:p w14:paraId="1F91B210" w14:textId="77777777" w:rsidR="00883D1B" w:rsidRDefault="00883D1B" w:rsidP="00883D1B">
      <w:pPr>
        <w:pStyle w:val="ListParagraph"/>
        <w:numPr>
          <w:ilvl w:val="0"/>
          <w:numId w:val="10"/>
        </w:numPr>
        <w:overflowPunct w:val="0"/>
        <w:autoSpaceDE w:val="0"/>
        <w:autoSpaceDN w:val="0"/>
        <w:adjustRightInd w:val="0"/>
        <w:spacing w:before="0" w:after="180"/>
        <w:jc w:val="left"/>
        <w:textAlignment w:val="baseline"/>
        <w:rPr>
          <w:lang w:eastAsia="zh-CN"/>
        </w:rPr>
      </w:pPr>
      <w:r>
        <w:rPr>
          <w:lang w:eastAsia="zh-CN"/>
        </w:rPr>
        <w:t>Various carrier frequencies (e.g., 2GHz, 3.5GHz)</w:t>
      </w:r>
    </w:p>
    <w:p w14:paraId="3368D220" w14:textId="77777777" w:rsidR="00883D1B" w:rsidRDefault="00883D1B" w:rsidP="00883D1B">
      <w:pPr>
        <w:pStyle w:val="ListParagraph"/>
        <w:numPr>
          <w:ilvl w:val="0"/>
          <w:numId w:val="10"/>
        </w:numPr>
        <w:overflowPunct w:val="0"/>
        <w:autoSpaceDE w:val="0"/>
        <w:autoSpaceDN w:val="0"/>
        <w:adjustRightInd w:val="0"/>
        <w:spacing w:before="0" w:after="18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5751E5F2" w14:textId="77777777" w:rsidR="00883D1B" w:rsidRDefault="00883D1B" w:rsidP="00883D1B">
      <w:pPr>
        <w:pStyle w:val="ListParagraph"/>
        <w:numPr>
          <w:ilvl w:val="0"/>
          <w:numId w:val="10"/>
        </w:numPr>
        <w:overflowPunct w:val="0"/>
        <w:autoSpaceDE w:val="0"/>
        <w:autoSpaceDN w:val="0"/>
        <w:adjustRightInd w:val="0"/>
        <w:spacing w:before="0" w:after="180"/>
        <w:jc w:val="left"/>
        <w:textAlignment w:val="baseline"/>
        <w:rPr>
          <w:lang w:eastAsia="zh-CN"/>
        </w:rPr>
      </w:pPr>
      <w:r>
        <w:rPr>
          <w:lang w:eastAsia="zh-CN"/>
        </w:rPr>
        <w:t>Companies to report the selected scenarios for generalization verification</w:t>
      </w:r>
    </w:p>
    <w:p w14:paraId="0FD961B5" w14:textId="158CC824" w:rsidR="00883D1B" w:rsidRDefault="00883D1B" w:rsidP="007F4639">
      <w:pPr>
        <w:pStyle w:val="maintext"/>
        <w:ind w:firstLineChars="0" w:firstLine="0"/>
        <w:rPr>
          <w:rFonts w:ascii="Calibri" w:hAnsi="Calibri"/>
        </w:rPr>
      </w:pPr>
      <w:r>
        <w:rPr>
          <w:rFonts w:ascii="Calibri" w:hAnsi="Calibri"/>
        </w:rPr>
        <w:t xml:space="preserve">One of the aspects that need to studied to verify generalization performance of AI/ML model for CSI compression over various scenarios, is data distribution from different UE types. The AI/ML model for CSI compression can be device specific or it can be trained for a set of different devices. </w:t>
      </w:r>
      <w:r w:rsidR="00EA26AC">
        <w:rPr>
          <w:rFonts w:ascii="Calibri" w:hAnsi="Calibri"/>
        </w:rPr>
        <w:t>It is important to understand that if an AI/ML model that is trained using the data from different UE is able to generalize as well as AI/ML models trained for a single UE device.</w:t>
      </w:r>
    </w:p>
    <w:p w14:paraId="0D3EC83C" w14:textId="1FF56A09" w:rsidR="00883D1B" w:rsidRDefault="00883D1B" w:rsidP="007F4639">
      <w:pPr>
        <w:pStyle w:val="maintext"/>
        <w:ind w:firstLineChars="0" w:firstLine="0"/>
        <w:rPr>
          <w:rFonts w:ascii="Calibri" w:hAnsi="Calibri"/>
        </w:rPr>
      </w:pPr>
    </w:p>
    <w:p w14:paraId="6598BD8B" w14:textId="07C3ED52" w:rsidR="00883D1B" w:rsidRPr="00883D1B" w:rsidRDefault="00883D1B" w:rsidP="00883D1B">
      <w:pPr>
        <w:rPr>
          <w:rFonts w:ascii="Calibri" w:hAnsi="Calibri" w:cs="Calibri"/>
          <w:b/>
          <w:lang w:eastAsia="zh-CN"/>
        </w:rPr>
      </w:pPr>
      <w:bookmarkStart w:id="3" w:name="_Hlk134881777"/>
      <w:r w:rsidRPr="00883D1B">
        <w:rPr>
          <w:rFonts w:ascii="Calibri" w:hAnsi="Calibri" w:cs="Calibri"/>
          <w:b/>
          <w:lang w:eastAsia="zh-CN"/>
        </w:rPr>
        <w:t xml:space="preserve">Proposal 1: For CSI compression evaluation, </w:t>
      </w:r>
      <w:r w:rsidR="00EA26AC">
        <w:rPr>
          <w:rFonts w:ascii="Calibri" w:hAnsi="Calibri" w:cs="Calibri"/>
          <w:b/>
          <w:lang w:eastAsia="zh-CN"/>
        </w:rPr>
        <w:t xml:space="preserve">to verify the generalization performance of AI/ML models over various scenarios, </w:t>
      </w:r>
      <w:r w:rsidRPr="00883D1B">
        <w:rPr>
          <w:rFonts w:ascii="Calibri" w:hAnsi="Calibri" w:cs="Calibri"/>
          <w:b/>
          <w:lang w:eastAsia="zh-CN"/>
        </w:rPr>
        <w:t>for the modeling of the variation among dataset distributions over different UE types (e.g., different UE vendors/UE versions of a single vendor), consider the following aspects</w:t>
      </w:r>
    </w:p>
    <w:p w14:paraId="2FAC6ABE" w14:textId="77777777" w:rsidR="00883D1B" w:rsidRPr="00EA26AC" w:rsidRDefault="00883D1B" w:rsidP="00EA26AC">
      <w:pPr>
        <w:pStyle w:val="ListParagraph"/>
        <w:numPr>
          <w:ilvl w:val="0"/>
          <w:numId w:val="24"/>
        </w:numPr>
        <w:spacing w:before="120"/>
        <w:jc w:val="left"/>
        <w:rPr>
          <w:rFonts w:ascii="Calibri" w:hAnsi="Calibri" w:cs="Calibri"/>
          <w:b/>
          <w:bCs/>
          <w:lang w:eastAsia="zh-CN"/>
        </w:rPr>
      </w:pPr>
      <w:r w:rsidRPr="00EA26AC">
        <w:rPr>
          <w:rFonts w:ascii="Calibri" w:hAnsi="Calibri" w:cs="Calibri"/>
          <w:b/>
          <w:bCs/>
          <w:lang w:eastAsia="zh-CN"/>
        </w:rPr>
        <w:lastRenderedPageBreak/>
        <w:t>Different deployment scenarios, e.g., UE#1 with UMa while UE#2 with UMi, or UE#1 with LOS while UE#2 with O2I.</w:t>
      </w:r>
    </w:p>
    <w:p w14:paraId="0487CE6C" w14:textId="77777777" w:rsidR="00883D1B" w:rsidRPr="00EA26AC" w:rsidRDefault="00883D1B" w:rsidP="00EA26AC">
      <w:pPr>
        <w:pStyle w:val="ListParagraph"/>
        <w:numPr>
          <w:ilvl w:val="0"/>
          <w:numId w:val="24"/>
        </w:numPr>
        <w:spacing w:before="120"/>
        <w:jc w:val="left"/>
        <w:rPr>
          <w:rFonts w:ascii="Calibri" w:hAnsi="Calibri" w:cs="Calibri"/>
          <w:b/>
          <w:bCs/>
          <w:lang w:eastAsia="zh-CN"/>
        </w:rPr>
      </w:pPr>
      <w:r w:rsidRPr="00EA26AC">
        <w:rPr>
          <w:rFonts w:ascii="Calibri" w:hAnsi="Calibri" w:cs="Calibri"/>
          <w:b/>
          <w:bCs/>
          <w:lang w:eastAsia="zh-CN"/>
        </w:rPr>
        <w:t>Different antenna deployments, e.g., UE#1 with (1,1,2,1,1,1,1) while UE#2 with (1,2,1,1,1,1,1) for 2Rx.</w:t>
      </w:r>
    </w:p>
    <w:p w14:paraId="6906BF14" w14:textId="77777777" w:rsidR="00883D1B" w:rsidRPr="00EA26AC" w:rsidRDefault="00883D1B" w:rsidP="00EA26AC">
      <w:pPr>
        <w:pStyle w:val="ListParagraph"/>
        <w:numPr>
          <w:ilvl w:val="0"/>
          <w:numId w:val="24"/>
        </w:numPr>
        <w:spacing w:before="120"/>
        <w:jc w:val="left"/>
        <w:rPr>
          <w:rFonts w:ascii="Calibri" w:hAnsi="Calibri" w:cs="Calibri"/>
          <w:b/>
          <w:bCs/>
          <w:lang w:eastAsia="zh-CN"/>
        </w:rPr>
      </w:pPr>
      <w:r w:rsidRPr="00EA26AC">
        <w:rPr>
          <w:rFonts w:ascii="Calibri" w:hAnsi="Calibri" w:cs="Calibri"/>
          <w:b/>
          <w:bCs/>
          <w:lang w:eastAsia="zh-CN"/>
        </w:rPr>
        <w:t>Different antenna gain imbalance values.</w:t>
      </w:r>
    </w:p>
    <w:p w14:paraId="42DD44CC" w14:textId="77777777" w:rsidR="00883D1B" w:rsidRPr="00EA26AC" w:rsidRDefault="00883D1B" w:rsidP="00EA26AC">
      <w:pPr>
        <w:pStyle w:val="ListParagraph"/>
        <w:numPr>
          <w:ilvl w:val="0"/>
          <w:numId w:val="24"/>
        </w:numPr>
        <w:spacing w:before="120"/>
        <w:jc w:val="left"/>
        <w:rPr>
          <w:rFonts w:ascii="Calibri" w:hAnsi="Calibri" w:cs="Calibri"/>
          <w:b/>
          <w:bCs/>
          <w:lang w:eastAsia="zh-CN"/>
        </w:rPr>
      </w:pPr>
      <w:r w:rsidRPr="00EA26AC">
        <w:rPr>
          <w:rFonts w:ascii="Calibri" w:hAnsi="Calibri" w:cs="Calibri"/>
          <w:b/>
          <w:bCs/>
          <w:lang w:eastAsia="zh-CN"/>
        </w:rPr>
        <w:t>Other factors are not precluded.</w:t>
      </w:r>
    </w:p>
    <w:bookmarkEnd w:id="3"/>
    <w:p w14:paraId="7B31787D" w14:textId="77777777" w:rsidR="00E37014" w:rsidRDefault="00E37014" w:rsidP="007F4639">
      <w:pPr>
        <w:pStyle w:val="maintext"/>
        <w:ind w:firstLineChars="0" w:firstLine="0"/>
        <w:rPr>
          <w:rFonts w:ascii="Calibri" w:hAnsi="Calibri"/>
        </w:rPr>
      </w:pPr>
    </w:p>
    <w:p w14:paraId="6F3C097A" w14:textId="58E9BC0A" w:rsidR="00E37014" w:rsidRDefault="002368CC" w:rsidP="007F4639">
      <w:pPr>
        <w:pStyle w:val="maintext"/>
        <w:ind w:firstLineChars="0" w:firstLine="0"/>
        <w:rPr>
          <w:rFonts w:ascii="Calibri" w:hAnsi="Calibri"/>
        </w:rPr>
      </w:pPr>
      <w:r>
        <w:rPr>
          <w:rFonts w:ascii="Calibri" w:hAnsi="Calibri"/>
        </w:rPr>
        <w:t>In RAN1#110e-bis</w:t>
      </w:r>
      <w:r w:rsidR="00913D77">
        <w:rPr>
          <w:rFonts w:ascii="Calibri" w:hAnsi="Calibri"/>
        </w:rPr>
        <w:t>[4]</w:t>
      </w:r>
      <w:r>
        <w:rPr>
          <w:rFonts w:ascii="Calibri" w:hAnsi="Calibri"/>
        </w:rPr>
        <w:t xml:space="preserve"> it was agreed</w:t>
      </w:r>
    </w:p>
    <w:p w14:paraId="2B22B8BB" w14:textId="77777777" w:rsidR="002368CC" w:rsidRPr="002368CC" w:rsidRDefault="002368CC" w:rsidP="002368CC">
      <w:pPr>
        <w:rPr>
          <w:rFonts w:eastAsia="DengXian"/>
          <w:highlight w:val="green"/>
          <w:lang w:eastAsia="zh-CN"/>
        </w:rPr>
      </w:pPr>
      <w:r w:rsidRPr="002368CC">
        <w:rPr>
          <w:rFonts w:eastAsia="DengXian" w:hint="eastAsia"/>
          <w:highlight w:val="green"/>
          <w:lang w:eastAsia="zh-CN"/>
        </w:rPr>
        <w:t>A</w:t>
      </w:r>
      <w:r w:rsidRPr="002368CC">
        <w:rPr>
          <w:rFonts w:eastAsia="DengXian"/>
          <w:highlight w:val="green"/>
          <w:lang w:eastAsia="zh-CN"/>
        </w:rPr>
        <w:t>greement</w:t>
      </w:r>
    </w:p>
    <w:p w14:paraId="6E159AFF" w14:textId="77777777" w:rsidR="002368CC" w:rsidRPr="002368CC" w:rsidRDefault="002368CC" w:rsidP="002368CC">
      <w:r w:rsidRPr="002368CC">
        <w:rPr>
          <w:rFonts w:eastAsia="Malgun Gothic"/>
        </w:rPr>
        <w:t>In CSI compression using two-sided model use case, evaluate and study quantization of CSI feedback, including at least the following aspects:</w:t>
      </w:r>
      <w:r w:rsidRPr="002368CC">
        <w:t xml:space="preserve"> </w:t>
      </w:r>
    </w:p>
    <w:p w14:paraId="4DE82A43" w14:textId="77777777" w:rsidR="002368CC" w:rsidRPr="002368CC" w:rsidRDefault="002368CC" w:rsidP="00C37272">
      <w:pPr>
        <w:pStyle w:val="ListParagraph"/>
        <w:numPr>
          <w:ilvl w:val="0"/>
          <w:numId w:val="6"/>
        </w:numPr>
        <w:overflowPunct w:val="0"/>
        <w:autoSpaceDE w:val="0"/>
        <w:autoSpaceDN w:val="0"/>
        <w:adjustRightInd w:val="0"/>
        <w:spacing w:before="100" w:beforeAutospacing="1" w:after="180" w:line="259" w:lineRule="auto"/>
        <w:contextualSpacing w:val="0"/>
        <w:textAlignment w:val="baseline"/>
        <w:rPr>
          <w:rFonts w:ascii="Times New Roman" w:eastAsia="Malgun Gothic" w:hAnsi="Times New Roman"/>
        </w:rPr>
      </w:pPr>
      <w:r w:rsidRPr="002368CC">
        <w:rPr>
          <w:rFonts w:ascii="Times New Roman" w:eastAsia="Malgun Gothic" w:hAnsi="Times New Roman"/>
        </w:rPr>
        <w:t xml:space="preserve">Quantization non-aware training </w:t>
      </w:r>
    </w:p>
    <w:p w14:paraId="5EAA2F78" w14:textId="77777777" w:rsidR="002368CC" w:rsidRPr="002368CC" w:rsidRDefault="002368CC" w:rsidP="00C37272">
      <w:pPr>
        <w:pStyle w:val="ListParagraph"/>
        <w:numPr>
          <w:ilvl w:val="0"/>
          <w:numId w:val="6"/>
        </w:numPr>
        <w:overflowPunct w:val="0"/>
        <w:autoSpaceDE w:val="0"/>
        <w:autoSpaceDN w:val="0"/>
        <w:adjustRightInd w:val="0"/>
        <w:spacing w:before="100" w:beforeAutospacing="1" w:after="180" w:line="259" w:lineRule="auto"/>
        <w:contextualSpacing w:val="0"/>
        <w:textAlignment w:val="baseline"/>
        <w:rPr>
          <w:rFonts w:ascii="Times New Roman" w:eastAsia="Malgun Gothic" w:hAnsi="Times New Roman"/>
        </w:rPr>
      </w:pPr>
      <w:r w:rsidRPr="002368CC">
        <w:rPr>
          <w:rFonts w:ascii="Times New Roman" w:eastAsia="Malgun Gothic" w:hAnsi="Times New Roman"/>
        </w:rPr>
        <w:t>Quantization-aware training</w:t>
      </w:r>
    </w:p>
    <w:p w14:paraId="41EBF459" w14:textId="77777777" w:rsidR="002368CC" w:rsidRPr="002368CC" w:rsidRDefault="002368CC" w:rsidP="00C37272">
      <w:pPr>
        <w:pStyle w:val="ListParagraph"/>
        <w:numPr>
          <w:ilvl w:val="0"/>
          <w:numId w:val="6"/>
        </w:numPr>
        <w:overflowPunct w:val="0"/>
        <w:autoSpaceDE w:val="0"/>
        <w:autoSpaceDN w:val="0"/>
        <w:adjustRightInd w:val="0"/>
        <w:spacing w:before="100" w:beforeAutospacing="1" w:after="180" w:line="259" w:lineRule="auto"/>
        <w:contextualSpacing w:val="0"/>
        <w:textAlignment w:val="baseline"/>
        <w:rPr>
          <w:rFonts w:ascii="Times New Roman" w:eastAsia="Malgun Gothic" w:hAnsi="Times New Roman"/>
        </w:rPr>
      </w:pPr>
      <w:r w:rsidRPr="002368CC">
        <w:rPr>
          <w:rFonts w:ascii="Times New Roman" w:eastAsia="Malgun Gothic" w:hAnsi="Times New Roman"/>
        </w:rPr>
        <w:t>Quantization methods including uniform vs non-uniform quantization, scalar versus vector quantization,</w:t>
      </w:r>
      <w:r w:rsidRPr="002368CC">
        <w:t xml:space="preserve"> </w:t>
      </w:r>
      <w:r w:rsidRPr="002368CC">
        <w:rPr>
          <w:rFonts w:ascii="Times New Roman" w:eastAsia="Malgun Gothic" w:hAnsi="Times New Roman"/>
        </w:rPr>
        <w:t xml:space="preserve">and associated parameters, e.g., </w:t>
      </w:r>
      <w:r w:rsidRPr="002368CC">
        <w:rPr>
          <w:rFonts w:ascii="Times New Roman" w:eastAsia="DengXian" w:hAnsi="Times New Roman"/>
        </w:rPr>
        <w:t>quantization resolution,</w:t>
      </w:r>
      <w:r w:rsidRPr="002368CC">
        <w:rPr>
          <w:rFonts w:ascii="Times New Roman" w:eastAsia="Malgun Gothic" w:hAnsi="Times New Roman"/>
        </w:rPr>
        <w:t xml:space="preserve"> etc.</w:t>
      </w:r>
    </w:p>
    <w:p w14:paraId="1409C770" w14:textId="77777777" w:rsidR="002368CC" w:rsidRPr="002368CC" w:rsidRDefault="002368CC" w:rsidP="00C37272">
      <w:pPr>
        <w:pStyle w:val="ListParagraph"/>
        <w:numPr>
          <w:ilvl w:val="0"/>
          <w:numId w:val="6"/>
        </w:numPr>
        <w:overflowPunct w:val="0"/>
        <w:autoSpaceDE w:val="0"/>
        <w:autoSpaceDN w:val="0"/>
        <w:adjustRightInd w:val="0"/>
        <w:spacing w:before="100" w:beforeAutospacing="1" w:after="180" w:line="259" w:lineRule="auto"/>
        <w:contextualSpacing w:val="0"/>
        <w:textAlignment w:val="baseline"/>
        <w:rPr>
          <w:rFonts w:ascii="Times New Roman" w:eastAsia="Malgun Gothic" w:hAnsi="Times New Roman"/>
        </w:rPr>
      </w:pPr>
      <w:r w:rsidRPr="002368CC">
        <w:rPr>
          <w:rFonts w:ascii="Times New Roman" w:eastAsia="Malgun Gothic" w:hAnsi="Times New Roman"/>
        </w:rPr>
        <w:t>How to use the quantization methods</w:t>
      </w:r>
    </w:p>
    <w:p w14:paraId="22FD99E8" w14:textId="35C40906" w:rsidR="002368CC" w:rsidRDefault="002368CC" w:rsidP="007F4639">
      <w:pPr>
        <w:pStyle w:val="maintext"/>
        <w:ind w:firstLineChars="0" w:firstLine="0"/>
        <w:rPr>
          <w:rFonts w:ascii="Calibri" w:hAnsi="Calibri"/>
        </w:rPr>
      </w:pPr>
      <w:r>
        <w:rPr>
          <w:rFonts w:ascii="Calibri" w:hAnsi="Calibri"/>
        </w:rPr>
        <w:t>In RAN1#111</w:t>
      </w:r>
      <w:r w:rsidR="00913D77">
        <w:rPr>
          <w:rFonts w:ascii="Calibri" w:hAnsi="Calibri"/>
        </w:rPr>
        <w:t>[5]</w:t>
      </w:r>
      <w:r>
        <w:rPr>
          <w:rFonts w:ascii="Calibri" w:hAnsi="Calibri"/>
        </w:rPr>
        <w:t xml:space="preserve"> it was agreed</w:t>
      </w:r>
    </w:p>
    <w:p w14:paraId="15F501DC" w14:textId="77777777" w:rsidR="002368CC" w:rsidRDefault="002368CC" w:rsidP="002368CC">
      <w:pPr>
        <w:rPr>
          <w:highlight w:val="green"/>
          <w:lang w:eastAsia="zh-CN"/>
        </w:rPr>
      </w:pPr>
      <w:r>
        <w:rPr>
          <w:highlight w:val="green"/>
          <w:lang w:eastAsia="zh-CN"/>
        </w:rPr>
        <w:t>Agreement</w:t>
      </w:r>
    </w:p>
    <w:p w14:paraId="73551BE0" w14:textId="77777777" w:rsidR="002368CC" w:rsidRDefault="002368CC" w:rsidP="002368CC">
      <w:pPr>
        <w:rPr>
          <w:bCs/>
          <w:lang w:eastAsia="zh-CN"/>
        </w:rPr>
      </w:pPr>
      <w:r>
        <w:rPr>
          <w:lang w:eastAsia="zh-CN"/>
        </w:rPr>
        <w:t xml:space="preserve">For the </w:t>
      </w:r>
      <w:r>
        <w:rPr>
          <w:bCs/>
          <w:lang w:eastAsia="zh-CN"/>
        </w:rPr>
        <w:t>evaluation of quantization aware/non-aware training, the following cases are considered and reported by companies:</w:t>
      </w:r>
    </w:p>
    <w:p w14:paraId="231B611B" w14:textId="77777777" w:rsidR="002368CC" w:rsidRDefault="002368CC" w:rsidP="00C37272">
      <w:pPr>
        <w:numPr>
          <w:ilvl w:val="0"/>
          <w:numId w:val="8"/>
        </w:numPr>
        <w:spacing w:before="0" w:after="0"/>
        <w:jc w:val="left"/>
        <w:rPr>
          <w:lang w:eastAsia="zh-CN"/>
        </w:rPr>
      </w:pPr>
      <w:r>
        <w:rPr>
          <w:bCs/>
          <w:lang w:eastAsia="zh-CN"/>
        </w:rPr>
        <w:t>Case 1: Quantization non-aware training, where the float-format variables are directly passed from CSI generation part to CSI reconstruction part during the training</w:t>
      </w:r>
    </w:p>
    <w:p w14:paraId="6C68FEAE" w14:textId="77777777" w:rsidR="002368CC" w:rsidRDefault="002368CC" w:rsidP="00C37272">
      <w:pPr>
        <w:numPr>
          <w:ilvl w:val="1"/>
          <w:numId w:val="8"/>
        </w:numPr>
        <w:spacing w:before="0" w:after="0"/>
        <w:jc w:val="left"/>
        <w:rPr>
          <w:lang w:eastAsia="zh-CN"/>
        </w:rPr>
      </w:pPr>
      <w:r>
        <w:rPr>
          <w:bCs/>
          <w:lang w:eastAsia="zh-CN"/>
        </w:rPr>
        <w:t>Fixed/pre-configured quantization method/parameters is applied for the inference phase</w:t>
      </w:r>
    </w:p>
    <w:p w14:paraId="12FF4A0E" w14:textId="77777777" w:rsidR="002368CC" w:rsidRDefault="002368CC" w:rsidP="00C37272">
      <w:pPr>
        <w:numPr>
          <w:ilvl w:val="2"/>
          <w:numId w:val="8"/>
        </w:numPr>
        <w:spacing w:before="0" w:after="0"/>
        <w:jc w:val="left"/>
        <w:rPr>
          <w:lang w:eastAsia="zh-CN"/>
        </w:rPr>
      </w:pPr>
      <w:r>
        <w:rPr>
          <w:bCs/>
          <w:lang w:eastAsia="zh-CN"/>
        </w:rPr>
        <w:t>Companies to report the design of the fixed/pre-configured quantization method/parameters, e.g., quantization resolution, vector quantization codebook, etc.</w:t>
      </w:r>
    </w:p>
    <w:p w14:paraId="66C8C3D7" w14:textId="77777777" w:rsidR="002368CC" w:rsidRDefault="002368CC" w:rsidP="00C37272">
      <w:pPr>
        <w:numPr>
          <w:ilvl w:val="0"/>
          <w:numId w:val="8"/>
        </w:numPr>
        <w:spacing w:before="0" w:after="0"/>
        <w:jc w:val="left"/>
        <w:rPr>
          <w:lang w:eastAsia="zh-CN"/>
        </w:rPr>
      </w:pPr>
      <w:r>
        <w:rPr>
          <w:bCs/>
          <w:lang w:eastAsia="zh-CN"/>
        </w:rPr>
        <w:t>Case 2: Quantization aware training, where quantization/dequantization is involved in the training process</w:t>
      </w:r>
    </w:p>
    <w:p w14:paraId="3F0DF742" w14:textId="77777777" w:rsidR="002368CC" w:rsidRDefault="002368CC" w:rsidP="00C37272">
      <w:pPr>
        <w:numPr>
          <w:ilvl w:val="1"/>
          <w:numId w:val="8"/>
        </w:numPr>
        <w:spacing w:before="0" w:after="0"/>
        <w:jc w:val="left"/>
        <w:rPr>
          <w:lang w:eastAsia="zh-CN"/>
        </w:rPr>
      </w:pPr>
      <w:r>
        <w:rPr>
          <w:bCs/>
          <w:lang w:eastAsia="zh-CN"/>
        </w:rPr>
        <w:t>Case 2-1: Fixed/pre-configured quantization method/parameters are applied during the training phase; the same quantization codebook is applied for the inference phase</w:t>
      </w:r>
    </w:p>
    <w:p w14:paraId="15D364E3" w14:textId="77777777" w:rsidR="002368CC" w:rsidRDefault="002368CC" w:rsidP="00C37272">
      <w:pPr>
        <w:numPr>
          <w:ilvl w:val="2"/>
          <w:numId w:val="8"/>
        </w:numPr>
        <w:spacing w:before="0" w:after="0"/>
        <w:jc w:val="left"/>
        <w:rPr>
          <w:lang w:eastAsia="zh-CN"/>
        </w:rPr>
      </w:pPr>
      <w:r>
        <w:rPr>
          <w:bCs/>
          <w:lang w:eastAsia="zh-CN"/>
        </w:rPr>
        <w:t>Companies to report the design of the fixed/pre-configured quantization method/parameters, e.g., quantization resolution, vector quantization codebook, etc.</w:t>
      </w:r>
    </w:p>
    <w:p w14:paraId="69D21DFF" w14:textId="77777777" w:rsidR="002368CC" w:rsidRDefault="002368CC" w:rsidP="00C37272">
      <w:pPr>
        <w:numPr>
          <w:ilvl w:val="1"/>
          <w:numId w:val="8"/>
        </w:numPr>
        <w:spacing w:before="0" w:after="0"/>
        <w:jc w:val="left"/>
        <w:rPr>
          <w:lang w:eastAsia="zh-CN"/>
        </w:rPr>
      </w:pPr>
      <w:r>
        <w:rPr>
          <w:bCs/>
          <w:lang w:eastAsia="zh-CN"/>
        </w:rPr>
        <w:t>Case 2-2: The quantization method/parameters are updated in together with the AI/ML models during the training; when training is finished, the final quantization codebook is applied for the inference phase</w:t>
      </w:r>
    </w:p>
    <w:p w14:paraId="3CD5AF0E" w14:textId="77777777" w:rsidR="002368CC" w:rsidRDefault="002368CC" w:rsidP="00C37272">
      <w:pPr>
        <w:numPr>
          <w:ilvl w:val="2"/>
          <w:numId w:val="8"/>
        </w:numPr>
        <w:spacing w:before="0" w:after="0"/>
        <w:jc w:val="left"/>
        <w:rPr>
          <w:lang w:eastAsia="zh-CN"/>
        </w:rPr>
      </w:pPr>
      <w:r>
        <w:rPr>
          <w:bCs/>
          <w:lang w:eastAsia="zh-CN"/>
        </w:rPr>
        <w:t>Companies to report how to update the quantization method/parameters during the training</w:t>
      </w:r>
    </w:p>
    <w:p w14:paraId="6CA989BE" w14:textId="77777777" w:rsidR="002368CC" w:rsidRDefault="002368CC" w:rsidP="00C37272">
      <w:pPr>
        <w:numPr>
          <w:ilvl w:val="0"/>
          <w:numId w:val="8"/>
        </w:numPr>
        <w:spacing w:before="0" w:after="0"/>
        <w:jc w:val="left"/>
        <w:rPr>
          <w:bCs/>
          <w:lang w:eastAsia="zh-CN"/>
        </w:rPr>
      </w:pPr>
      <w:r>
        <w:rPr>
          <w:bCs/>
          <w:lang w:eastAsia="zh-CN"/>
        </w:rPr>
        <w:t>Note: the above cases apply for training Type 1/2/3</w:t>
      </w:r>
    </w:p>
    <w:p w14:paraId="3F16402D" w14:textId="77777777" w:rsidR="002368CC" w:rsidRDefault="002368CC" w:rsidP="00C37272">
      <w:pPr>
        <w:numPr>
          <w:ilvl w:val="0"/>
          <w:numId w:val="8"/>
        </w:numPr>
        <w:spacing w:before="0" w:after="0"/>
        <w:jc w:val="left"/>
        <w:rPr>
          <w:bCs/>
          <w:lang w:eastAsia="zh-CN"/>
        </w:rPr>
      </w:pPr>
      <w:r>
        <w:rPr>
          <w:bCs/>
          <w:lang w:eastAsia="zh-CN"/>
        </w:rPr>
        <w:t>Others are not precluded.</w:t>
      </w:r>
    </w:p>
    <w:p w14:paraId="052D746F" w14:textId="77777777" w:rsidR="002368CC" w:rsidRDefault="002368CC" w:rsidP="007F4639">
      <w:pPr>
        <w:pStyle w:val="maintext"/>
        <w:ind w:firstLineChars="0" w:firstLine="0"/>
        <w:rPr>
          <w:rFonts w:ascii="Calibri" w:hAnsi="Calibri"/>
        </w:rPr>
      </w:pPr>
    </w:p>
    <w:p w14:paraId="0DF668AA" w14:textId="68D63671" w:rsidR="002368CC" w:rsidRDefault="002368CC" w:rsidP="007F4639">
      <w:pPr>
        <w:pStyle w:val="maintext"/>
        <w:ind w:firstLineChars="0" w:firstLine="0"/>
        <w:rPr>
          <w:rFonts w:ascii="Calibri" w:hAnsi="Calibri"/>
        </w:rPr>
      </w:pPr>
      <w:r>
        <w:rPr>
          <w:rFonts w:ascii="Calibri" w:hAnsi="Calibri"/>
        </w:rPr>
        <w:t>We believe in order to better understand the capability of the models and to get an upper bound on the performance of the models we should study the case for training without quantization and inference without quantization as a upper bound for performance. Therefore, we propose the following,</w:t>
      </w:r>
    </w:p>
    <w:p w14:paraId="5B47FB3F" w14:textId="2EA82FAE" w:rsidR="002368CC" w:rsidRDefault="002368CC" w:rsidP="002368CC">
      <w:pPr>
        <w:spacing w:beforeLines="100" w:before="240"/>
        <w:rPr>
          <w:rFonts w:ascii="Calibri" w:hAnsi="Calibri" w:cs="Calibri"/>
          <w:b/>
          <w:lang w:eastAsia="zh-CN"/>
        </w:rPr>
      </w:pPr>
      <w:r>
        <w:rPr>
          <w:rFonts w:ascii="Calibri" w:hAnsi="Calibri" w:cs="Calibri"/>
          <w:b/>
          <w:lang w:eastAsia="zh-CN"/>
        </w:rPr>
        <w:t xml:space="preserve">Proposal </w:t>
      </w:r>
      <w:r w:rsidR="00EA26AC">
        <w:rPr>
          <w:rFonts w:ascii="Calibri" w:hAnsi="Calibri" w:cs="Calibri"/>
          <w:b/>
          <w:lang w:eastAsia="zh-CN"/>
        </w:rPr>
        <w:t>2</w:t>
      </w:r>
      <w:r>
        <w:rPr>
          <w:rFonts w:ascii="Calibri" w:hAnsi="Calibri" w:cs="Calibri"/>
          <w:b/>
          <w:lang w:eastAsia="zh-CN"/>
        </w:rPr>
        <w:t xml:space="preserve">: </w:t>
      </w:r>
      <w:r w:rsidRPr="002368CC">
        <w:rPr>
          <w:rFonts w:ascii="Calibri" w:hAnsi="Calibri" w:cs="Calibri"/>
          <w:b/>
          <w:lang w:eastAsia="zh-CN"/>
        </w:rPr>
        <w:t xml:space="preserve"> For the evaluation of quantization aware/non-aware training, on top of the agreed cases of quantization non-aware training (Case 1) and quantization aware training (Case 2-1, Case 2-2</w:t>
      </w:r>
      <w:r>
        <w:rPr>
          <w:rFonts w:ascii="Calibri" w:hAnsi="Calibri" w:cs="Calibri"/>
          <w:b/>
          <w:lang w:eastAsia="zh-CN"/>
        </w:rPr>
        <w:t>),</w:t>
      </w:r>
      <w:r w:rsidRPr="002368CC">
        <w:rPr>
          <w:rFonts w:ascii="Calibri" w:hAnsi="Calibri" w:cs="Calibri"/>
          <w:b/>
          <w:lang w:eastAsia="zh-CN"/>
        </w:rPr>
        <w:t xml:space="preserve"> introduce an additional upper bound case of Case 0: non-quantized training and inference (i.e., float-format variables are directly passed from CSI generation part to CSI reconstruction part during the training and inference), to reflect the performance loss due to quantization</w:t>
      </w:r>
      <w:r>
        <w:rPr>
          <w:rFonts w:ascii="Calibri" w:hAnsi="Calibri" w:cs="Calibri"/>
          <w:b/>
          <w:lang w:eastAsia="zh-CN"/>
        </w:rPr>
        <w:t>.</w:t>
      </w:r>
    </w:p>
    <w:p w14:paraId="5A51C63E" w14:textId="6BD68D7E" w:rsidR="00EA26AC" w:rsidRPr="00EA26AC" w:rsidRDefault="00EA26AC" w:rsidP="00EA26AC">
      <w:pPr>
        <w:pStyle w:val="maintext"/>
        <w:ind w:firstLineChars="0" w:firstLine="0"/>
        <w:rPr>
          <w:rFonts w:ascii="Calibri" w:hAnsi="Calibri"/>
        </w:rPr>
      </w:pPr>
      <w:r w:rsidRPr="00EA26AC">
        <w:rPr>
          <w:rFonts w:ascii="Calibri" w:hAnsi="Calibri"/>
        </w:rPr>
        <w:t xml:space="preserve">In RAN1#112bis-e we made the following observations. </w:t>
      </w:r>
    </w:p>
    <w:p w14:paraId="65396BDE" w14:textId="77777777" w:rsidR="00EA26AC" w:rsidRDefault="00EA26AC" w:rsidP="00EA26AC">
      <w:pPr>
        <w:rPr>
          <w:rFonts w:ascii="Times" w:hAnsi="Times"/>
          <w:lang w:eastAsia="zh-CN"/>
        </w:rPr>
      </w:pPr>
      <w:r>
        <w:rPr>
          <w:lang w:eastAsia="zh-CN"/>
        </w:rPr>
        <w:lastRenderedPageBreak/>
        <w:t>Note: for result collection for the generalization verification of AI/ML based CSI compression over various deployment scenarios, till the RAN1#112bis-e meeting,</w:t>
      </w:r>
    </w:p>
    <w:p w14:paraId="66EC0F18" w14:textId="77777777" w:rsidR="00EA26AC" w:rsidRDefault="00EA26AC" w:rsidP="00EA26AC">
      <w:pPr>
        <w:numPr>
          <w:ilvl w:val="0"/>
          <w:numId w:val="25"/>
        </w:numPr>
        <w:snapToGrid w:val="0"/>
        <w:spacing w:before="0" w:after="0"/>
        <w:jc w:val="left"/>
        <w:rPr>
          <w:rFonts w:ascii="Times New Roman" w:hAnsi="Times New Roman"/>
          <w:bCs/>
          <w:lang w:eastAsia="zh-CN"/>
        </w:rPr>
      </w:pPr>
      <w:r>
        <w:rPr>
          <w:rFonts w:ascii="Times New Roman" w:hAnsi="Times New Roman"/>
          <w:bCs/>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90BF7B2" w14:textId="77777777" w:rsidR="00EA26AC" w:rsidRDefault="00EA26AC" w:rsidP="00EA26AC">
      <w:pPr>
        <w:numPr>
          <w:ilvl w:val="1"/>
          <w:numId w:val="25"/>
        </w:numPr>
        <w:snapToGrid w:val="0"/>
        <w:spacing w:before="0" w:after="0"/>
        <w:jc w:val="left"/>
        <w:rPr>
          <w:rFonts w:ascii="Times New Roman" w:hAnsi="Times New Roman"/>
          <w:bCs/>
          <w:lang w:eastAsia="zh-CN"/>
        </w:rPr>
      </w:pPr>
      <w:r>
        <w:rPr>
          <w:rFonts w:ascii="Times New Roman" w:hAnsi="Times New Roman"/>
          <w:bCs/>
          <w:lang w:eastAsia="zh-CN"/>
        </w:rPr>
        <w:t>E.g., deployment scenario#A is UMa, deployment scenario#B is UMi, deployment scenario#A is UMi, deployment scenario#B is UMa, or deployment scenario#A is InH, deployment scenario#B is UMa/UMi.</w:t>
      </w:r>
    </w:p>
    <w:p w14:paraId="2B2A1153" w14:textId="77777777" w:rsidR="00EA26AC" w:rsidRDefault="00EA26AC" w:rsidP="00EA26AC">
      <w:pPr>
        <w:numPr>
          <w:ilvl w:val="1"/>
          <w:numId w:val="25"/>
        </w:numPr>
        <w:snapToGrid w:val="0"/>
        <w:spacing w:before="0" w:after="0"/>
        <w:jc w:val="left"/>
        <w:rPr>
          <w:rFonts w:ascii="Times New Roman" w:hAnsi="Times New Roman"/>
          <w:bCs/>
          <w:lang w:eastAsia="zh-CN"/>
        </w:rPr>
      </w:pPr>
      <w:r>
        <w:rPr>
          <w:rFonts w:ascii="Times New Roman" w:hAnsi="Times New Roman"/>
          <w:bCs/>
          <w:lang w:eastAsia="zh-CN"/>
        </w:rPr>
        <w:t>6 sources observe that if deployment scenario#A and deployment scenario#B are subject to some certain combinations, the degradation is minor.</w:t>
      </w:r>
    </w:p>
    <w:p w14:paraId="07E776B2" w14:textId="77777777" w:rsidR="00EA26AC" w:rsidRDefault="00EA26AC" w:rsidP="00EA26AC">
      <w:pPr>
        <w:numPr>
          <w:ilvl w:val="2"/>
          <w:numId w:val="25"/>
        </w:numPr>
        <w:snapToGrid w:val="0"/>
        <w:spacing w:before="0" w:after="0"/>
        <w:jc w:val="left"/>
        <w:rPr>
          <w:rFonts w:ascii="Times New Roman" w:hAnsi="Times New Roman"/>
          <w:bCs/>
          <w:lang w:eastAsia="zh-CN"/>
        </w:rPr>
      </w:pPr>
      <w:r>
        <w:rPr>
          <w:rFonts w:ascii="Times New Roman" w:hAnsi="Times New Roman"/>
          <w:bCs/>
          <w:lang w:eastAsia="zh-CN"/>
        </w:rPr>
        <w:t>E.g., deployment scenario#A is UMa, deployment scenario#B is UMi, or deployment scenario#A is UMi, deployment scenario#B is UMa.</w:t>
      </w:r>
    </w:p>
    <w:p w14:paraId="55C14076" w14:textId="77777777" w:rsidR="00EA26AC" w:rsidRDefault="00EA26AC" w:rsidP="00EA26AC">
      <w:pPr>
        <w:numPr>
          <w:ilvl w:val="0"/>
          <w:numId w:val="25"/>
        </w:numPr>
        <w:snapToGrid w:val="0"/>
        <w:spacing w:before="0" w:after="0"/>
        <w:jc w:val="left"/>
        <w:rPr>
          <w:rFonts w:ascii="Times New Roman" w:hAnsi="Times New Roman"/>
          <w:bCs/>
          <w:lang w:eastAsia="zh-CN"/>
        </w:rPr>
      </w:pPr>
      <w:r>
        <w:rPr>
          <w:rFonts w:ascii="Times New Roman" w:hAnsi="Times New Roman"/>
          <w:bCs/>
          <w:color w:val="000000"/>
          <w:lang w:eastAsia="zh-CN"/>
        </w:rPr>
        <w:t>6 sources show tha</w:t>
      </w:r>
      <w:r>
        <w:rPr>
          <w:rFonts w:ascii="Times New Roman" w:hAnsi="Times New Roman"/>
          <w:bCs/>
          <w:lang w:eastAsia="zh-CN"/>
        </w:rPr>
        <w:t>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71D2D8BD" w14:textId="77777777" w:rsidR="00EA26AC" w:rsidRDefault="00EA26AC" w:rsidP="00EA26AC">
      <w:pPr>
        <w:numPr>
          <w:ilvl w:val="1"/>
          <w:numId w:val="25"/>
        </w:numPr>
        <w:snapToGrid w:val="0"/>
        <w:spacing w:before="0" w:after="0"/>
        <w:jc w:val="left"/>
        <w:rPr>
          <w:rFonts w:ascii="Times New Roman" w:hAnsi="Times New Roman"/>
          <w:bCs/>
          <w:lang w:eastAsia="zh-CN"/>
        </w:rPr>
      </w:pPr>
      <w:r>
        <w:rPr>
          <w:rFonts w:ascii="Times New Roman" w:hAnsi="Times New Roman"/>
          <w:bCs/>
          <w:lang w:eastAsia="zh-CN"/>
        </w:rPr>
        <w:t>E.g., deployment scenario#A is InH, deployment scenario#B is UMa and/or UMi.</w:t>
      </w:r>
    </w:p>
    <w:p w14:paraId="40D1BDC0" w14:textId="77777777" w:rsidR="00EA26AC" w:rsidRDefault="00EA26AC" w:rsidP="00EA26AC">
      <w:pPr>
        <w:numPr>
          <w:ilvl w:val="0"/>
          <w:numId w:val="25"/>
        </w:numPr>
        <w:snapToGrid w:val="0"/>
        <w:spacing w:before="0" w:after="0"/>
        <w:jc w:val="left"/>
        <w:rPr>
          <w:rFonts w:ascii="Times New Roman" w:hAnsi="Times New Roman"/>
          <w:bCs/>
          <w:lang w:eastAsia="zh-CN"/>
        </w:rPr>
      </w:pPr>
      <w:r>
        <w:rPr>
          <w:rFonts w:ascii="Times New Roman" w:hAnsi="Times New Roman"/>
          <w:bCs/>
          <w:lang w:eastAsia="zh-CN"/>
        </w:rP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49694897" w14:textId="77777777" w:rsidR="00EA26AC" w:rsidRDefault="00EA26AC" w:rsidP="00EA26AC">
      <w:pPr>
        <w:numPr>
          <w:ilvl w:val="1"/>
          <w:numId w:val="25"/>
        </w:numPr>
        <w:snapToGrid w:val="0"/>
        <w:spacing w:before="0" w:after="0"/>
        <w:jc w:val="left"/>
        <w:rPr>
          <w:rFonts w:ascii="Times New Roman" w:hAnsi="Times New Roman"/>
          <w:bCs/>
          <w:lang w:eastAsia="zh-CN"/>
        </w:rPr>
      </w:pPr>
      <w:r>
        <w:rPr>
          <w:rFonts w:ascii="Times New Roman" w:hAnsi="Times New Roman"/>
          <w:bCs/>
          <w:lang w:eastAsia="zh-CN"/>
        </w:rPr>
        <w:t>E.g., deployment scenario#A is InH, deployment scenario#B is UMa or UMi.</w:t>
      </w:r>
    </w:p>
    <w:p w14:paraId="2F90E4BD" w14:textId="77777777" w:rsidR="00C46C8A" w:rsidRDefault="00C46C8A" w:rsidP="00C46C8A">
      <w:pPr>
        <w:rPr>
          <w:rFonts w:ascii="Times" w:hAnsi="Times"/>
          <w:b/>
          <w:bCs/>
          <w:lang w:eastAsia="zh-CN"/>
        </w:rPr>
      </w:pPr>
      <w:r>
        <w:rPr>
          <w:b/>
          <w:bCs/>
          <w:lang w:eastAsia="zh-CN"/>
        </w:rPr>
        <w:t>Observation</w:t>
      </w:r>
    </w:p>
    <w:p w14:paraId="64A3F0C3" w14:textId="77777777" w:rsidR="00C46C8A" w:rsidRDefault="00C46C8A" w:rsidP="00C46C8A">
      <w:pPr>
        <w:rPr>
          <w:lang w:eastAsia="zh-CN"/>
        </w:rPr>
      </w:pPr>
      <w:r>
        <w:rPr>
          <w:lang w:eastAsia="zh-CN"/>
        </w:rPr>
        <w:t xml:space="preserve">For the scalability verification of AI/ML based CSI compression over various CSI payload sizes, till the RAN1#112bis-e meeting, compared to the generalization Case 1 where the AI/ML model is trained with dataset subject to a certain CSI payload size#B and applied for inference with a same CSI payload size#B, </w:t>
      </w:r>
    </w:p>
    <w:p w14:paraId="00585B56" w14:textId="77777777" w:rsidR="00C46C8A" w:rsidRDefault="00C46C8A" w:rsidP="00C46C8A">
      <w:pPr>
        <w:numPr>
          <w:ilvl w:val="0"/>
          <w:numId w:val="26"/>
        </w:numPr>
        <w:snapToGrid w:val="0"/>
        <w:spacing w:before="0" w:after="0"/>
        <w:jc w:val="left"/>
        <w:rPr>
          <w:lang w:eastAsia="zh-CN"/>
        </w:rPr>
      </w:pPr>
      <w:r>
        <w:rPr>
          <w:lang w:eastAsia="zh-CN"/>
        </w:rPr>
        <w:t>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(Note *) (6 sources (Note **) showing 0%~2.2% loss, 3 sources (Note ***) showing 2.35%~5.9% loss). The scalability solution is adopted as follows:</w:t>
      </w:r>
    </w:p>
    <w:p w14:paraId="58B49455" w14:textId="77777777" w:rsidR="00C46C8A" w:rsidRDefault="00C46C8A" w:rsidP="00C46C8A">
      <w:pPr>
        <w:numPr>
          <w:ilvl w:val="1"/>
          <w:numId w:val="26"/>
        </w:numPr>
        <w:snapToGrid w:val="0"/>
        <w:spacing w:before="0" w:after="0"/>
        <w:jc w:val="left"/>
        <w:rPr>
          <w:lang w:eastAsia="zh-CN"/>
        </w:rPr>
      </w:pPr>
      <w:r>
        <w:rPr>
          <w:lang w:eastAsia="zh-CN"/>
        </w:rPr>
        <w:t>Pre/post-processing of truncation/padding, adopted by 3 sources (Note ****), showing 0.2%~5.9% loss.</w:t>
      </w:r>
    </w:p>
    <w:p w14:paraId="22AB7386" w14:textId="77777777" w:rsidR="00C46C8A" w:rsidRDefault="00C46C8A" w:rsidP="00C46C8A">
      <w:pPr>
        <w:numPr>
          <w:ilvl w:val="1"/>
          <w:numId w:val="26"/>
        </w:numPr>
        <w:snapToGrid w:val="0"/>
        <w:spacing w:before="0" w:after="0"/>
        <w:jc w:val="left"/>
        <w:rPr>
          <w:lang w:eastAsia="zh-CN"/>
        </w:rPr>
      </w:pPr>
      <w:r>
        <w:rPr>
          <w:lang w:eastAsia="zh-CN"/>
        </w:rPr>
        <w:t>Various quantization granularities, adopted by 1 source (Note *****), showing 1.8%~4.7% loss.</w:t>
      </w:r>
    </w:p>
    <w:p w14:paraId="267B9A19" w14:textId="77777777" w:rsidR="00C46C8A" w:rsidRDefault="00C46C8A" w:rsidP="00C46C8A">
      <w:pPr>
        <w:numPr>
          <w:ilvl w:val="1"/>
          <w:numId w:val="26"/>
        </w:numPr>
        <w:snapToGrid w:val="0"/>
        <w:spacing w:before="0" w:after="0"/>
        <w:jc w:val="left"/>
        <w:rPr>
          <w:lang w:eastAsia="zh-CN"/>
        </w:rPr>
      </w:pPr>
      <w:r>
        <w:rPr>
          <w:lang w:eastAsia="zh-CN"/>
        </w:rPr>
        <w:t>Adaptation layer in the AL/ML model, adopted by 3 sources (Note ******), showing 0%~4.05% loss.</w:t>
      </w:r>
    </w:p>
    <w:p w14:paraId="6ED37052" w14:textId="77777777" w:rsidR="00C46C8A" w:rsidRDefault="00C46C8A" w:rsidP="00C46C8A">
      <w:pPr>
        <w:numPr>
          <w:ilvl w:val="0"/>
          <w:numId w:val="26"/>
        </w:numPr>
        <w:snapToGrid w:val="0"/>
        <w:spacing w:before="0" w:after="0"/>
        <w:jc w:val="left"/>
        <w:rPr>
          <w:lang w:eastAsia="zh-CN"/>
        </w:rPr>
      </w:pPr>
      <w:r>
        <w:rPr>
          <w:lang w:eastAsia="zh-CN"/>
        </w:rPr>
        <w:t>Note: the above results are based on the following assumptions</w:t>
      </w:r>
    </w:p>
    <w:p w14:paraId="4088DF51" w14:textId="77777777" w:rsidR="00C46C8A" w:rsidRDefault="00C46C8A" w:rsidP="00C46C8A">
      <w:pPr>
        <w:numPr>
          <w:ilvl w:val="1"/>
          <w:numId w:val="26"/>
        </w:numPr>
        <w:snapToGrid w:val="0"/>
        <w:spacing w:before="0" w:after="0"/>
        <w:jc w:val="left"/>
        <w:rPr>
          <w:lang w:eastAsia="zh-CN"/>
        </w:rPr>
      </w:pPr>
      <w:r>
        <w:rPr>
          <w:lang w:eastAsia="zh-CN"/>
        </w:rPr>
        <w:t>Precoding matrix is used as the model input.</w:t>
      </w:r>
    </w:p>
    <w:p w14:paraId="5DEC050F" w14:textId="77777777" w:rsidR="00C46C8A" w:rsidRDefault="00C46C8A" w:rsidP="00C46C8A">
      <w:pPr>
        <w:numPr>
          <w:ilvl w:val="1"/>
          <w:numId w:val="26"/>
        </w:numPr>
        <w:snapToGrid w:val="0"/>
        <w:spacing w:before="0" w:after="0"/>
        <w:jc w:val="left"/>
        <w:rPr>
          <w:lang w:eastAsia="zh-CN"/>
        </w:rPr>
      </w:pPr>
      <w:r>
        <w:rPr>
          <w:lang w:eastAsia="zh-CN"/>
        </w:rPr>
        <w:t>Training data samples are not quantized, i.e., Float32 is used/represented.</w:t>
      </w:r>
    </w:p>
    <w:p w14:paraId="428AFA19" w14:textId="77777777" w:rsidR="00C46C8A" w:rsidRDefault="00C46C8A" w:rsidP="00C46C8A">
      <w:pPr>
        <w:numPr>
          <w:ilvl w:val="1"/>
          <w:numId w:val="26"/>
        </w:numPr>
        <w:snapToGrid w:val="0"/>
        <w:spacing w:before="0" w:after="0"/>
        <w:jc w:val="left"/>
        <w:rPr>
          <w:lang w:eastAsia="zh-CN"/>
        </w:rPr>
      </w:pPr>
      <w:r>
        <w:rPr>
          <w:lang w:eastAsia="zh-CN"/>
        </w:rPr>
        <w:t>1-on-1 joint training is assumed.</w:t>
      </w:r>
    </w:p>
    <w:p w14:paraId="68A96F44" w14:textId="77777777" w:rsidR="00C46C8A" w:rsidRDefault="00C46C8A" w:rsidP="00C46C8A">
      <w:pPr>
        <w:numPr>
          <w:ilvl w:val="1"/>
          <w:numId w:val="26"/>
        </w:numPr>
        <w:snapToGrid w:val="0"/>
        <w:spacing w:before="0" w:after="0"/>
        <w:jc w:val="left"/>
        <w:rPr>
          <w:lang w:eastAsia="zh-CN"/>
        </w:rPr>
      </w:pPr>
      <w:r>
        <w:rPr>
          <w:lang w:eastAsia="zh-CN"/>
        </w:rPr>
        <w:t>Input/output scalability dimension Case 3 is adopted: A pair of CSI generation part with scalable input/output dimensions and CSI reconstruction part with scalable output and/or input dimensions.</w:t>
      </w:r>
    </w:p>
    <w:p w14:paraId="471E69E8" w14:textId="77777777" w:rsidR="00C46C8A" w:rsidRDefault="00C46C8A" w:rsidP="00C46C8A">
      <w:pPr>
        <w:numPr>
          <w:ilvl w:val="1"/>
          <w:numId w:val="26"/>
        </w:numPr>
        <w:snapToGrid w:val="0"/>
        <w:spacing w:before="0" w:after="0"/>
        <w:jc w:val="left"/>
        <w:rPr>
          <w:lang w:eastAsia="zh-CN"/>
        </w:rPr>
      </w:pPr>
      <w:r>
        <w:rPr>
          <w:lang w:eastAsia="zh-CN"/>
        </w:rPr>
        <w:t>The performance metric is SGCS in linear value for layer 1/2.</w:t>
      </w:r>
    </w:p>
    <w:p w14:paraId="74D1B9D4" w14:textId="77777777" w:rsidR="00C46C8A" w:rsidRDefault="00C46C8A" w:rsidP="00C46C8A">
      <w:pPr>
        <w:numPr>
          <w:ilvl w:val="0"/>
          <w:numId w:val="26"/>
        </w:numPr>
        <w:snapToGrid w:val="0"/>
        <w:spacing w:before="0" w:after="0"/>
        <w:jc w:val="left"/>
        <w:rPr>
          <w:lang w:eastAsia="zh-CN"/>
        </w:rPr>
      </w:pPr>
      <w:r>
        <w:rPr>
          <w:lang w:eastAsia="zh-CN"/>
        </w:rPr>
        <w:t xml:space="preserve">Note *: </w:t>
      </w:r>
      <w:r>
        <w:rPr>
          <w:iCs/>
          <w:lang w:eastAsia="zh-CN"/>
        </w:rPr>
        <w:t>Huawei, HiSilicon (</w:t>
      </w:r>
      <w:hyperlink r:id="rId5" w:history="1">
        <w:r>
          <w:rPr>
            <w:rStyle w:val="Hyperlink"/>
            <w:iCs/>
            <w:lang w:eastAsia="zh-CN"/>
          </w:rPr>
          <w:t>R1-2302358</w:t>
        </w:r>
      </w:hyperlink>
      <w:r>
        <w:rPr>
          <w:iCs/>
          <w:lang w:eastAsia="zh-CN"/>
        </w:rPr>
        <w:t>), Ericsson (</w:t>
      </w:r>
      <w:hyperlink r:id="rId6" w:history="1">
        <w:r>
          <w:rPr>
            <w:rStyle w:val="Hyperlink"/>
            <w:iCs/>
            <w:lang w:eastAsia="zh-CN"/>
          </w:rPr>
          <w:t>R1-2302918</w:t>
        </w:r>
      </w:hyperlink>
      <w:r>
        <w:rPr>
          <w:iCs/>
          <w:lang w:eastAsia="zh-CN"/>
        </w:rPr>
        <w:t>), OPPO (</w:t>
      </w:r>
      <w:hyperlink r:id="rId7" w:history="1">
        <w:r>
          <w:rPr>
            <w:rStyle w:val="Hyperlink"/>
            <w:iCs/>
            <w:lang w:eastAsia="zh-CN"/>
          </w:rPr>
          <w:t>R1-2302540</w:t>
        </w:r>
      </w:hyperlink>
      <w:r>
        <w:rPr>
          <w:iCs/>
          <w:lang w:eastAsia="zh-CN"/>
        </w:rPr>
        <w:t>), Fujitsu (</w:t>
      </w:r>
      <w:hyperlink r:id="rId8" w:history="1">
        <w:r>
          <w:rPr>
            <w:rStyle w:val="Hyperlink"/>
            <w:iCs/>
            <w:lang w:eastAsia="zh-CN"/>
          </w:rPr>
          <w:t>R1-2302904</w:t>
        </w:r>
      </w:hyperlink>
      <w:r>
        <w:rPr>
          <w:iCs/>
          <w:lang w:eastAsia="zh-CN"/>
        </w:rPr>
        <w:t>), CMCC (</w:t>
      </w:r>
      <w:hyperlink r:id="rId9" w:history="1">
        <w:r>
          <w:rPr>
            <w:rStyle w:val="Hyperlink"/>
            <w:iCs/>
            <w:lang w:eastAsia="zh-CN"/>
          </w:rPr>
          <w:t>R1-2303224</w:t>
        </w:r>
      </w:hyperlink>
      <w:r>
        <w:rPr>
          <w:iCs/>
          <w:lang w:eastAsia="zh-CN"/>
        </w:rPr>
        <w:t>), MediaTek (</w:t>
      </w:r>
      <w:hyperlink r:id="rId10" w:history="1">
        <w:r>
          <w:rPr>
            <w:rStyle w:val="Hyperlink"/>
            <w:iCs/>
            <w:lang w:eastAsia="zh-CN"/>
          </w:rPr>
          <w:t>R1-2303336</w:t>
        </w:r>
      </w:hyperlink>
      <w:r>
        <w:rPr>
          <w:iCs/>
          <w:lang w:eastAsia="zh-CN"/>
        </w:rPr>
        <w:t>), NTT DOCOMO (</w:t>
      </w:r>
      <w:hyperlink r:id="rId11" w:history="1">
        <w:r>
          <w:rPr>
            <w:rStyle w:val="Hyperlink"/>
            <w:iCs/>
            <w:lang w:eastAsia="zh-CN"/>
          </w:rPr>
          <w:t>R1-2303705</w:t>
        </w:r>
      </w:hyperlink>
      <w:r>
        <w:rPr>
          <w:iCs/>
          <w:lang w:eastAsia="zh-CN"/>
        </w:rPr>
        <w:t>).</w:t>
      </w:r>
    </w:p>
    <w:p w14:paraId="2CD2DDF9" w14:textId="77777777" w:rsidR="00C46C8A" w:rsidRDefault="00C46C8A" w:rsidP="00C46C8A">
      <w:pPr>
        <w:numPr>
          <w:ilvl w:val="0"/>
          <w:numId w:val="26"/>
        </w:numPr>
        <w:snapToGrid w:val="0"/>
        <w:spacing w:before="0" w:after="0"/>
        <w:jc w:val="left"/>
        <w:rPr>
          <w:lang w:eastAsia="zh-CN"/>
        </w:rPr>
      </w:pPr>
      <w:r>
        <w:rPr>
          <w:lang w:eastAsia="zh-CN"/>
        </w:rPr>
        <w:t xml:space="preserve">Note **: </w:t>
      </w:r>
      <w:r>
        <w:rPr>
          <w:iCs/>
          <w:lang w:eastAsia="zh-CN"/>
        </w:rPr>
        <w:t>Huawei, HiSilicon (</w:t>
      </w:r>
      <w:hyperlink r:id="rId12" w:history="1">
        <w:r>
          <w:rPr>
            <w:rStyle w:val="Hyperlink"/>
            <w:iCs/>
            <w:lang w:eastAsia="zh-CN"/>
          </w:rPr>
          <w:t>R1-2302358</w:t>
        </w:r>
      </w:hyperlink>
      <w:r>
        <w:rPr>
          <w:iCs/>
          <w:lang w:eastAsia="zh-CN"/>
        </w:rPr>
        <w:t>), Ericsson (</w:t>
      </w:r>
      <w:hyperlink r:id="rId13" w:history="1">
        <w:r>
          <w:rPr>
            <w:rStyle w:val="Hyperlink"/>
            <w:iCs/>
            <w:lang w:eastAsia="zh-CN"/>
          </w:rPr>
          <w:t>R1-2302918</w:t>
        </w:r>
      </w:hyperlink>
      <w:r>
        <w:rPr>
          <w:iCs/>
          <w:lang w:eastAsia="zh-CN"/>
        </w:rPr>
        <w:t>), Fujitsu (</w:t>
      </w:r>
      <w:hyperlink r:id="rId14" w:history="1">
        <w:r>
          <w:rPr>
            <w:rStyle w:val="Hyperlink"/>
            <w:iCs/>
            <w:lang w:eastAsia="zh-CN"/>
          </w:rPr>
          <w:t>R1-2302904</w:t>
        </w:r>
      </w:hyperlink>
      <w:r>
        <w:rPr>
          <w:iCs/>
          <w:lang w:eastAsia="zh-CN"/>
        </w:rPr>
        <w:t>), CMCC (</w:t>
      </w:r>
      <w:hyperlink r:id="rId15" w:history="1">
        <w:r>
          <w:rPr>
            <w:rStyle w:val="Hyperlink"/>
            <w:iCs/>
            <w:lang w:eastAsia="zh-CN"/>
          </w:rPr>
          <w:t>R1-2303224</w:t>
        </w:r>
      </w:hyperlink>
      <w:r>
        <w:rPr>
          <w:iCs/>
          <w:lang w:eastAsia="zh-CN"/>
        </w:rPr>
        <w:t>), MediaTek (</w:t>
      </w:r>
      <w:hyperlink r:id="rId16" w:history="1">
        <w:r>
          <w:rPr>
            <w:rStyle w:val="Hyperlink"/>
            <w:iCs/>
            <w:lang w:eastAsia="zh-CN"/>
          </w:rPr>
          <w:t>R1-2303336</w:t>
        </w:r>
      </w:hyperlink>
      <w:r>
        <w:rPr>
          <w:iCs/>
          <w:lang w:eastAsia="zh-CN"/>
        </w:rPr>
        <w:t>), NTT DOCOMO (</w:t>
      </w:r>
      <w:hyperlink r:id="rId17" w:history="1">
        <w:r>
          <w:rPr>
            <w:rStyle w:val="Hyperlink"/>
            <w:iCs/>
            <w:lang w:eastAsia="zh-CN"/>
          </w:rPr>
          <w:t>R1-2303705</w:t>
        </w:r>
      </w:hyperlink>
      <w:r>
        <w:rPr>
          <w:iCs/>
          <w:lang w:eastAsia="zh-CN"/>
        </w:rPr>
        <w:t>).</w:t>
      </w:r>
    </w:p>
    <w:p w14:paraId="309A58EC" w14:textId="77777777" w:rsidR="00C46C8A" w:rsidRDefault="00C46C8A" w:rsidP="00C46C8A">
      <w:pPr>
        <w:numPr>
          <w:ilvl w:val="0"/>
          <w:numId w:val="26"/>
        </w:numPr>
        <w:snapToGrid w:val="0"/>
        <w:spacing w:before="0" w:after="0"/>
        <w:jc w:val="left"/>
        <w:rPr>
          <w:lang w:eastAsia="zh-CN"/>
        </w:rPr>
      </w:pPr>
      <w:r>
        <w:rPr>
          <w:lang w:eastAsia="zh-CN"/>
        </w:rPr>
        <w:t>Note ***:</w:t>
      </w:r>
      <w:r>
        <w:rPr>
          <w:iCs/>
          <w:lang w:eastAsia="zh-CN"/>
        </w:rPr>
        <w:t xml:space="preserve"> Ericsson (</w:t>
      </w:r>
      <w:hyperlink r:id="rId18" w:history="1">
        <w:r>
          <w:rPr>
            <w:rStyle w:val="Hyperlink"/>
            <w:iCs/>
            <w:lang w:eastAsia="zh-CN"/>
          </w:rPr>
          <w:t>R1-2302918</w:t>
        </w:r>
      </w:hyperlink>
      <w:r>
        <w:rPr>
          <w:iCs/>
          <w:lang w:eastAsia="zh-CN"/>
        </w:rPr>
        <w:t>), OPPO (</w:t>
      </w:r>
      <w:hyperlink r:id="rId19" w:history="1">
        <w:r>
          <w:rPr>
            <w:rStyle w:val="Hyperlink"/>
            <w:iCs/>
            <w:lang w:eastAsia="zh-CN"/>
          </w:rPr>
          <w:t>R1-2302540</w:t>
        </w:r>
      </w:hyperlink>
      <w:r>
        <w:rPr>
          <w:iCs/>
          <w:lang w:eastAsia="zh-CN"/>
        </w:rPr>
        <w:t>), MediaTek (</w:t>
      </w:r>
      <w:hyperlink r:id="rId20" w:history="1">
        <w:r>
          <w:rPr>
            <w:rStyle w:val="Hyperlink"/>
            <w:iCs/>
            <w:lang w:eastAsia="zh-CN"/>
          </w:rPr>
          <w:t>R1-2303336</w:t>
        </w:r>
      </w:hyperlink>
      <w:r>
        <w:rPr>
          <w:iCs/>
          <w:lang w:eastAsia="zh-CN"/>
        </w:rPr>
        <w:t>).</w:t>
      </w:r>
    </w:p>
    <w:p w14:paraId="2C5229CE" w14:textId="77777777" w:rsidR="00C46C8A" w:rsidRDefault="00C46C8A" w:rsidP="00C46C8A">
      <w:pPr>
        <w:numPr>
          <w:ilvl w:val="0"/>
          <w:numId w:val="26"/>
        </w:numPr>
        <w:snapToGrid w:val="0"/>
        <w:spacing w:before="0" w:after="0"/>
        <w:jc w:val="left"/>
        <w:rPr>
          <w:lang w:eastAsia="zh-CN"/>
        </w:rPr>
      </w:pPr>
      <w:r>
        <w:rPr>
          <w:lang w:eastAsia="zh-CN"/>
        </w:rPr>
        <w:t xml:space="preserve">Note ****: </w:t>
      </w:r>
      <w:r>
        <w:rPr>
          <w:iCs/>
          <w:lang w:eastAsia="zh-CN"/>
        </w:rPr>
        <w:t>OPPO (</w:t>
      </w:r>
      <w:hyperlink r:id="rId21" w:history="1">
        <w:r>
          <w:rPr>
            <w:rStyle w:val="Hyperlink"/>
            <w:iCs/>
            <w:lang w:eastAsia="zh-CN"/>
          </w:rPr>
          <w:t>R1-2302540</w:t>
        </w:r>
      </w:hyperlink>
      <w:r>
        <w:rPr>
          <w:iCs/>
          <w:lang w:eastAsia="zh-CN"/>
        </w:rPr>
        <w:t>), Fujitsu (</w:t>
      </w:r>
      <w:hyperlink r:id="rId22" w:history="1">
        <w:r>
          <w:rPr>
            <w:rStyle w:val="Hyperlink"/>
            <w:iCs/>
            <w:lang w:eastAsia="zh-CN"/>
          </w:rPr>
          <w:t>R1-2302904</w:t>
        </w:r>
      </w:hyperlink>
      <w:r>
        <w:rPr>
          <w:iCs/>
          <w:lang w:eastAsia="zh-CN"/>
        </w:rPr>
        <w:t>), CMCC (</w:t>
      </w:r>
      <w:hyperlink r:id="rId23" w:history="1">
        <w:r>
          <w:rPr>
            <w:rStyle w:val="Hyperlink"/>
            <w:iCs/>
            <w:lang w:eastAsia="zh-CN"/>
          </w:rPr>
          <w:t>R1-2303224</w:t>
        </w:r>
      </w:hyperlink>
      <w:r>
        <w:rPr>
          <w:iCs/>
          <w:lang w:eastAsia="zh-CN"/>
        </w:rPr>
        <w:t>).</w:t>
      </w:r>
    </w:p>
    <w:p w14:paraId="671A9608" w14:textId="77777777" w:rsidR="00C46C8A" w:rsidRDefault="00C46C8A" w:rsidP="00C46C8A">
      <w:pPr>
        <w:numPr>
          <w:ilvl w:val="0"/>
          <w:numId w:val="26"/>
        </w:numPr>
        <w:snapToGrid w:val="0"/>
        <w:spacing w:before="0" w:after="0"/>
        <w:jc w:val="left"/>
        <w:rPr>
          <w:lang w:eastAsia="zh-CN"/>
        </w:rPr>
      </w:pPr>
      <w:r>
        <w:rPr>
          <w:lang w:eastAsia="zh-CN"/>
        </w:rPr>
        <w:t xml:space="preserve">Note *****: </w:t>
      </w:r>
      <w:r>
        <w:rPr>
          <w:iCs/>
          <w:lang w:eastAsia="zh-CN"/>
        </w:rPr>
        <w:t>Ericsson (</w:t>
      </w:r>
      <w:hyperlink r:id="rId24" w:history="1">
        <w:r>
          <w:rPr>
            <w:rStyle w:val="Hyperlink"/>
            <w:iCs/>
            <w:lang w:eastAsia="zh-CN"/>
          </w:rPr>
          <w:t>R1-2302918</w:t>
        </w:r>
      </w:hyperlink>
      <w:r>
        <w:rPr>
          <w:iCs/>
          <w:lang w:eastAsia="zh-CN"/>
        </w:rPr>
        <w:t>).</w:t>
      </w:r>
    </w:p>
    <w:p w14:paraId="01FA94B7" w14:textId="77777777" w:rsidR="00C46C8A" w:rsidRDefault="00C46C8A" w:rsidP="00C46C8A">
      <w:pPr>
        <w:numPr>
          <w:ilvl w:val="0"/>
          <w:numId w:val="26"/>
        </w:numPr>
        <w:snapToGrid w:val="0"/>
        <w:spacing w:before="0" w:after="0"/>
        <w:jc w:val="left"/>
        <w:rPr>
          <w:lang w:eastAsia="zh-CN"/>
        </w:rPr>
      </w:pPr>
      <w:r>
        <w:rPr>
          <w:lang w:eastAsia="zh-CN"/>
        </w:rPr>
        <w:t xml:space="preserve">Note ******: </w:t>
      </w:r>
      <w:r>
        <w:rPr>
          <w:iCs/>
          <w:lang w:eastAsia="zh-CN"/>
        </w:rPr>
        <w:t>Huawei, HiSilicon (</w:t>
      </w:r>
      <w:hyperlink r:id="rId25" w:history="1">
        <w:r>
          <w:rPr>
            <w:rStyle w:val="Hyperlink"/>
            <w:iCs/>
            <w:lang w:eastAsia="zh-CN"/>
          </w:rPr>
          <w:t>R1-2302358</w:t>
        </w:r>
      </w:hyperlink>
      <w:r>
        <w:rPr>
          <w:iCs/>
          <w:lang w:eastAsia="zh-CN"/>
        </w:rPr>
        <w:t>), MediaTek (</w:t>
      </w:r>
      <w:hyperlink r:id="rId26" w:history="1">
        <w:r>
          <w:rPr>
            <w:rStyle w:val="Hyperlink"/>
            <w:iCs/>
            <w:lang w:eastAsia="zh-CN"/>
          </w:rPr>
          <w:t>R1-2303336</w:t>
        </w:r>
      </w:hyperlink>
      <w:r>
        <w:rPr>
          <w:iCs/>
          <w:lang w:eastAsia="zh-CN"/>
        </w:rPr>
        <w:t>), NTT DOCOMO (</w:t>
      </w:r>
      <w:hyperlink r:id="rId27" w:history="1">
        <w:r>
          <w:rPr>
            <w:rStyle w:val="Hyperlink"/>
            <w:iCs/>
            <w:lang w:eastAsia="zh-CN"/>
          </w:rPr>
          <w:t>R1-2303705</w:t>
        </w:r>
      </w:hyperlink>
      <w:r>
        <w:rPr>
          <w:iCs/>
          <w:lang w:eastAsia="zh-CN"/>
        </w:rPr>
        <w:t>).</w:t>
      </w:r>
    </w:p>
    <w:p w14:paraId="20FF0ACB" w14:textId="77777777" w:rsidR="00EA26AC" w:rsidRPr="00EA26AC" w:rsidRDefault="00EA26AC" w:rsidP="00EA26AC">
      <w:pPr>
        <w:pStyle w:val="maintext"/>
        <w:ind w:firstLineChars="0" w:firstLine="0"/>
        <w:rPr>
          <w:rFonts w:ascii="Calibri" w:hAnsi="Calibri"/>
        </w:rPr>
      </w:pPr>
    </w:p>
    <w:p w14:paraId="41F9A7C3" w14:textId="10CC712D" w:rsidR="00EA26AC" w:rsidRDefault="00C46C8A" w:rsidP="00EA26AC">
      <w:pPr>
        <w:pStyle w:val="maintext"/>
        <w:ind w:firstLineChars="0" w:firstLine="0"/>
        <w:rPr>
          <w:rFonts w:ascii="Calibri" w:hAnsi="Calibri"/>
        </w:rPr>
      </w:pPr>
      <w:r>
        <w:rPr>
          <w:rFonts w:ascii="Calibri" w:hAnsi="Calibri"/>
        </w:rPr>
        <w:lastRenderedPageBreak/>
        <w:t>Currently we have several different</w:t>
      </w:r>
      <w:r w:rsidR="00C86079">
        <w:rPr>
          <w:rFonts w:ascii="Calibri" w:hAnsi="Calibri"/>
        </w:rPr>
        <w:t xml:space="preserve"> options for</w:t>
      </w:r>
      <w:r>
        <w:rPr>
          <w:rFonts w:ascii="Calibri" w:hAnsi="Calibri"/>
        </w:rPr>
        <w:t xml:space="preserve"> </w:t>
      </w:r>
      <w:r w:rsidR="00C86079">
        <w:rPr>
          <w:rFonts w:ascii="Calibri" w:hAnsi="Calibri"/>
        </w:rPr>
        <w:t>training collaboration types</w:t>
      </w:r>
      <w:r>
        <w:rPr>
          <w:rFonts w:ascii="Calibri" w:hAnsi="Calibri"/>
        </w:rPr>
        <w:t xml:space="preserve"> for CSI compression </w:t>
      </w:r>
      <w:r w:rsidR="00C86079">
        <w:rPr>
          <w:rFonts w:ascii="Calibri" w:hAnsi="Calibri"/>
        </w:rPr>
        <w:t>and</w:t>
      </w:r>
      <w:r>
        <w:rPr>
          <w:rFonts w:ascii="Calibri" w:hAnsi="Calibri"/>
        </w:rPr>
        <w:t xml:space="preserve"> model delivery</w:t>
      </w:r>
      <w:r w:rsidR="00C86079">
        <w:rPr>
          <w:rFonts w:ascii="Calibri" w:hAnsi="Calibri"/>
        </w:rPr>
        <w:t xml:space="preserve"> types</w:t>
      </w:r>
      <w:r>
        <w:rPr>
          <w:rFonts w:ascii="Calibri" w:hAnsi="Calibri"/>
        </w:rPr>
        <w:t>. Furthermore, a</w:t>
      </w:r>
      <w:r w:rsidR="00EA26AC" w:rsidRPr="00EA26AC">
        <w:rPr>
          <w:rFonts w:ascii="Calibri" w:hAnsi="Calibri"/>
        </w:rPr>
        <w:t xml:space="preserve">s we are reaching the end of SI </w:t>
      </w:r>
      <w:r>
        <w:rPr>
          <w:rFonts w:ascii="Calibri" w:hAnsi="Calibri"/>
        </w:rPr>
        <w:t>and getting some initial</w:t>
      </w:r>
      <w:r w:rsidR="00EA26AC" w:rsidRPr="00EA26AC">
        <w:rPr>
          <w:rFonts w:ascii="Calibri" w:hAnsi="Calibri"/>
        </w:rPr>
        <w:t xml:space="preserve"> observations regarding the performance of the</w:t>
      </w:r>
      <w:r>
        <w:rPr>
          <w:rFonts w:ascii="Calibri" w:hAnsi="Calibri"/>
        </w:rPr>
        <w:t>se</w:t>
      </w:r>
      <w:r w:rsidR="00EA26AC" w:rsidRPr="00EA26AC">
        <w:rPr>
          <w:rFonts w:ascii="Calibri" w:hAnsi="Calibri"/>
        </w:rPr>
        <w:t xml:space="preserve"> </w:t>
      </w:r>
      <w:r w:rsidR="00C86079" w:rsidRPr="00EA26AC">
        <w:rPr>
          <w:rFonts w:ascii="Calibri" w:hAnsi="Calibri"/>
        </w:rPr>
        <w:t>different</w:t>
      </w:r>
      <w:r w:rsidR="00C86079">
        <w:rPr>
          <w:rFonts w:ascii="Calibri" w:hAnsi="Calibri"/>
        </w:rPr>
        <w:t xml:space="preserve"> training collaboration</w:t>
      </w:r>
      <w:r w:rsidR="00EA26AC" w:rsidRPr="00EA26AC">
        <w:rPr>
          <w:rFonts w:ascii="Calibri" w:hAnsi="Calibri"/>
        </w:rPr>
        <w:t xml:space="preserve"> </w:t>
      </w:r>
      <w:r w:rsidR="00C86079">
        <w:rPr>
          <w:rFonts w:ascii="Calibri" w:hAnsi="Calibri"/>
        </w:rPr>
        <w:t>type</w:t>
      </w:r>
      <w:r w:rsidR="00EA26AC" w:rsidRPr="00EA26AC">
        <w:rPr>
          <w:rFonts w:ascii="Calibri" w:hAnsi="Calibri"/>
        </w:rPr>
        <w:t xml:space="preserve"> </w:t>
      </w:r>
      <w:r>
        <w:rPr>
          <w:rFonts w:ascii="Calibri" w:hAnsi="Calibri"/>
        </w:rPr>
        <w:t>for</w:t>
      </w:r>
      <w:r w:rsidR="00EA26AC" w:rsidRPr="00EA26AC">
        <w:rPr>
          <w:rFonts w:ascii="Calibri" w:hAnsi="Calibri"/>
        </w:rPr>
        <w:t xml:space="preserve"> CSI compression</w:t>
      </w:r>
      <w:r>
        <w:rPr>
          <w:rFonts w:ascii="Calibri" w:hAnsi="Calibri"/>
        </w:rPr>
        <w:t xml:space="preserve"> and their generalization aspects</w:t>
      </w:r>
      <w:r w:rsidR="00EA26AC" w:rsidRPr="00EA26AC">
        <w:rPr>
          <w:rFonts w:ascii="Calibri" w:hAnsi="Calibri"/>
        </w:rPr>
        <w:t xml:space="preserve">. </w:t>
      </w:r>
      <w:r>
        <w:rPr>
          <w:rFonts w:ascii="Calibri" w:hAnsi="Calibri"/>
        </w:rPr>
        <w:t xml:space="preserve">Based on the slow progress in the general framework regarding two sided models and model ID based LCM, it is important that we prioritize the </w:t>
      </w:r>
      <w:r w:rsidR="00ED3520">
        <w:rPr>
          <w:rFonts w:ascii="Calibri" w:hAnsi="Calibri"/>
        </w:rPr>
        <w:t>type(</w:t>
      </w:r>
      <w:r>
        <w:rPr>
          <w:rFonts w:ascii="Calibri" w:hAnsi="Calibri"/>
        </w:rPr>
        <w:t>s)</w:t>
      </w:r>
      <w:r w:rsidR="00ED3520">
        <w:rPr>
          <w:rFonts w:ascii="Calibri" w:hAnsi="Calibri"/>
        </w:rPr>
        <w:t xml:space="preserve"> </w:t>
      </w:r>
      <w:r w:rsidR="00AA07CB">
        <w:rPr>
          <w:rFonts w:ascii="Calibri" w:hAnsi="Calibri"/>
        </w:rPr>
        <w:t xml:space="preserve">of </w:t>
      </w:r>
      <w:r w:rsidR="00C86079">
        <w:rPr>
          <w:rFonts w:ascii="Calibri" w:hAnsi="Calibri"/>
        </w:rPr>
        <w:t>training collaboration for</w:t>
      </w:r>
      <w:r w:rsidR="00ED3520">
        <w:rPr>
          <w:rFonts w:ascii="Calibri" w:hAnsi="Calibri"/>
        </w:rPr>
        <w:t xml:space="preserve"> CSI compression</w:t>
      </w:r>
      <w:r w:rsidR="00C86079">
        <w:rPr>
          <w:rFonts w:ascii="Calibri" w:hAnsi="Calibri"/>
        </w:rPr>
        <w:t xml:space="preserve"> </w:t>
      </w:r>
      <w:r>
        <w:rPr>
          <w:rFonts w:ascii="Calibri" w:hAnsi="Calibri"/>
        </w:rPr>
        <w:t xml:space="preserve">based on </w:t>
      </w:r>
      <w:r w:rsidR="00ED3520">
        <w:rPr>
          <w:rFonts w:ascii="Calibri" w:hAnsi="Calibri"/>
        </w:rPr>
        <w:t>the</w:t>
      </w:r>
      <w:r>
        <w:rPr>
          <w:rFonts w:ascii="Calibri" w:hAnsi="Calibri"/>
        </w:rPr>
        <w:t xml:space="preserve"> performance</w:t>
      </w:r>
      <w:r w:rsidR="00ED3520">
        <w:rPr>
          <w:rFonts w:ascii="Calibri" w:hAnsi="Calibri"/>
        </w:rPr>
        <w:t xml:space="preserve"> gains</w:t>
      </w:r>
      <w:r>
        <w:rPr>
          <w:rFonts w:ascii="Calibri" w:hAnsi="Calibri"/>
        </w:rPr>
        <w:t xml:space="preserve">, complexity and generalizability aspects. Therefore, </w:t>
      </w:r>
      <w:r w:rsidR="00BB42D2">
        <w:rPr>
          <w:rFonts w:ascii="Calibri" w:hAnsi="Calibri"/>
        </w:rPr>
        <w:t xml:space="preserve">from </w:t>
      </w:r>
      <w:r w:rsidR="0036518E">
        <w:rPr>
          <w:rFonts w:ascii="Calibri" w:hAnsi="Calibri"/>
        </w:rPr>
        <w:t xml:space="preserve">a </w:t>
      </w:r>
      <w:r w:rsidR="00BB42D2">
        <w:rPr>
          <w:rFonts w:ascii="Calibri" w:hAnsi="Calibri"/>
        </w:rPr>
        <w:t xml:space="preserve">workload perspective, </w:t>
      </w:r>
      <w:r>
        <w:rPr>
          <w:rFonts w:ascii="Calibri" w:hAnsi="Calibri"/>
        </w:rPr>
        <w:t xml:space="preserve">it is important </w:t>
      </w:r>
      <w:r w:rsidR="00BB42D2">
        <w:rPr>
          <w:rFonts w:ascii="Calibri" w:hAnsi="Calibri"/>
        </w:rPr>
        <w:t xml:space="preserve">to </w:t>
      </w:r>
      <w:r>
        <w:rPr>
          <w:rFonts w:ascii="Calibri" w:hAnsi="Calibri"/>
        </w:rPr>
        <w:t xml:space="preserve">discuss </w:t>
      </w:r>
      <w:r w:rsidR="00BB42D2">
        <w:rPr>
          <w:rFonts w:ascii="Calibri" w:hAnsi="Calibri"/>
        </w:rPr>
        <w:t xml:space="preserve">and select </w:t>
      </w:r>
      <w:r w:rsidR="00ED3520">
        <w:rPr>
          <w:rFonts w:ascii="Calibri" w:hAnsi="Calibri"/>
        </w:rPr>
        <w:t xml:space="preserve">the type(s) </w:t>
      </w:r>
      <w:r w:rsidR="00BB42D2">
        <w:rPr>
          <w:rFonts w:ascii="Calibri" w:hAnsi="Calibri"/>
        </w:rPr>
        <w:t xml:space="preserve">training </w:t>
      </w:r>
      <w:r w:rsidR="00C86079">
        <w:rPr>
          <w:rFonts w:ascii="Calibri" w:hAnsi="Calibri"/>
        </w:rPr>
        <w:t>collaboration for</w:t>
      </w:r>
      <w:r w:rsidR="00ED3520">
        <w:rPr>
          <w:rFonts w:ascii="Calibri" w:hAnsi="Calibri"/>
        </w:rPr>
        <w:t xml:space="preserve"> CSI compression that </w:t>
      </w:r>
      <w:r>
        <w:rPr>
          <w:rFonts w:ascii="Calibri" w:hAnsi="Calibri"/>
        </w:rPr>
        <w:t>will be</w:t>
      </w:r>
      <w:r w:rsidR="00ED3520">
        <w:rPr>
          <w:rFonts w:ascii="Calibri" w:hAnsi="Calibri"/>
        </w:rPr>
        <w:t xml:space="preserve"> prioritized and later</w:t>
      </w:r>
      <w:r>
        <w:rPr>
          <w:rFonts w:ascii="Calibri" w:hAnsi="Calibri"/>
        </w:rPr>
        <w:t xml:space="preserve"> studied in WI in Rel-19. </w:t>
      </w:r>
    </w:p>
    <w:p w14:paraId="43C215A2" w14:textId="08302CD6" w:rsidR="00C46C8A" w:rsidRDefault="00C46C8A" w:rsidP="00ED3520">
      <w:pPr>
        <w:spacing w:beforeLines="100" w:before="240"/>
        <w:rPr>
          <w:rFonts w:ascii="Calibri" w:hAnsi="Calibri" w:cs="Calibri"/>
          <w:b/>
          <w:lang w:eastAsia="zh-CN"/>
        </w:rPr>
      </w:pPr>
      <w:r w:rsidRPr="00ED3520">
        <w:rPr>
          <w:rFonts w:ascii="Calibri" w:hAnsi="Calibri" w:cs="Calibri"/>
          <w:b/>
          <w:lang w:eastAsia="zh-CN"/>
        </w:rPr>
        <w:t xml:space="preserve">Proposal 3: </w:t>
      </w:r>
      <w:r w:rsidR="00304152" w:rsidRPr="00A169A8">
        <w:rPr>
          <w:rFonts w:ascii="Calibri" w:hAnsi="Calibri" w:cs="Calibri"/>
          <w:b/>
          <w:lang w:eastAsia="zh-CN"/>
        </w:rPr>
        <w:t xml:space="preserve">In CSI compression using two-sided model use case, </w:t>
      </w:r>
      <w:r w:rsidR="00304152">
        <w:rPr>
          <w:rFonts w:ascii="Calibri" w:hAnsi="Calibri" w:cs="Calibri"/>
          <w:b/>
          <w:lang w:eastAsia="zh-CN"/>
        </w:rPr>
        <w:t>discuss</w:t>
      </w:r>
      <w:r w:rsidR="00304152" w:rsidRPr="00A169A8">
        <w:rPr>
          <w:rFonts w:ascii="Calibri" w:hAnsi="Calibri" w:cs="Calibri"/>
          <w:b/>
          <w:lang w:eastAsia="zh-CN"/>
        </w:rPr>
        <w:t xml:space="preserve"> the pros/cons of different offline training collaboration types</w:t>
      </w:r>
      <w:r w:rsidR="00304152">
        <w:rPr>
          <w:rFonts w:ascii="Calibri" w:hAnsi="Calibri" w:cs="Calibri"/>
          <w:b/>
          <w:lang w:eastAsia="zh-CN"/>
        </w:rPr>
        <w:t xml:space="preserve"> and select the training collaboration type(s) for CSI compression </w:t>
      </w:r>
      <w:r w:rsidR="00304152" w:rsidRPr="00ED3520">
        <w:rPr>
          <w:rFonts w:ascii="Calibri" w:hAnsi="Calibri" w:cs="Calibri"/>
          <w:b/>
          <w:lang w:eastAsia="zh-CN"/>
        </w:rPr>
        <w:t>that will be prioritized and later studied in the WI.</w:t>
      </w:r>
    </w:p>
    <w:p w14:paraId="53608AF9" w14:textId="307C60C7" w:rsidR="007945A5" w:rsidRPr="00430B4C" w:rsidRDefault="00ED3520" w:rsidP="00430B4C">
      <w:pPr>
        <w:pStyle w:val="ListParagraph"/>
        <w:numPr>
          <w:ilvl w:val="0"/>
          <w:numId w:val="27"/>
        </w:numPr>
        <w:spacing w:beforeLines="100" w:before="240"/>
        <w:rPr>
          <w:rFonts w:ascii="Calibri" w:hAnsi="Calibri" w:cs="Calibri"/>
          <w:b/>
          <w:lang w:eastAsia="zh-CN"/>
        </w:rPr>
      </w:pPr>
      <w:r>
        <w:rPr>
          <w:rFonts w:ascii="Calibri" w:hAnsi="Calibri" w:cs="Calibri"/>
          <w:b/>
          <w:lang w:eastAsia="zh-CN"/>
        </w:rPr>
        <w:t>Down selection is based on observations for performance gains, model generalization aspects and model complexity for the different training</w:t>
      </w:r>
      <w:r w:rsidR="00C86079">
        <w:rPr>
          <w:rFonts w:ascii="Calibri" w:hAnsi="Calibri" w:cs="Calibri"/>
          <w:b/>
          <w:lang w:eastAsia="zh-CN"/>
        </w:rPr>
        <w:t xml:space="preserve"> collaboration</w:t>
      </w:r>
      <w:r>
        <w:rPr>
          <w:rFonts w:ascii="Calibri" w:hAnsi="Calibri" w:cs="Calibri"/>
          <w:b/>
          <w:lang w:eastAsia="zh-CN"/>
        </w:rPr>
        <w:t xml:space="preserve"> types.</w:t>
      </w:r>
    </w:p>
    <w:p w14:paraId="6EFE70F5" w14:textId="2A492372" w:rsidR="00602887" w:rsidRDefault="00602887" w:rsidP="00216C61">
      <w:pPr>
        <w:pStyle w:val="Heading1"/>
      </w:pPr>
      <w:r>
        <w:t>Conclusion</w:t>
      </w:r>
    </w:p>
    <w:p w14:paraId="6B3B3B56" w14:textId="77777777" w:rsidR="00CE7A00" w:rsidRDefault="00CE7A00" w:rsidP="00EA26AC">
      <w:pPr>
        <w:rPr>
          <w:rFonts w:ascii="Calibri" w:hAnsi="Calibri" w:cs="Calibri"/>
          <w:b/>
          <w:lang w:eastAsia="zh-CN"/>
        </w:rPr>
      </w:pPr>
    </w:p>
    <w:p w14:paraId="692AB728" w14:textId="1E061AB4" w:rsidR="00EA26AC" w:rsidRPr="00883D1B" w:rsidRDefault="00EA26AC" w:rsidP="00EA26AC">
      <w:pPr>
        <w:rPr>
          <w:rFonts w:ascii="Calibri" w:hAnsi="Calibri" w:cs="Calibri"/>
          <w:b/>
          <w:lang w:eastAsia="zh-CN"/>
        </w:rPr>
      </w:pPr>
      <w:r w:rsidRPr="00883D1B">
        <w:rPr>
          <w:rFonts w:ascii="Calibri" w:hAnsi="Calibri" w:cs="Calibri"/>
          <w:b/>
          <w:lang w:eastAsia="zh-CN"/>
        </w:rPr>
        <w:t xml:space="preserve">Proposal 1: For CSI compression evaluation, </w:t>
      </w:r>
      <w:r>
        <w:rPr>
          <w:rFonts w:ascii="Calibri" w:hAnsi="Calibri" w:cs="Calibri"/>
          <w:b/>
          <w:lang w:eastAsia="zh-CN"/>
        </w:rPr>
        <w:t xml:space="preserve">to verify the generalization performance of AI/ML models over various scenarios, </w:t>
      </w:r>
      <w:r w:rsidRPr="00883D1B">
        <w:rPr>
          <w:rFonts w:ascii="Calibri" w:hAnsi="Calibri" w:cs="Calibri"/>
          <w:b/>
          <w:lang w:eastAsia="zh-CN"/>
        </w:rPr>
        <w:t>for the modeling of the variation among dataset distributions over different UE types (e.g., different UE vendors/UE versions of a single vendor), consider the following aspects</w:t>
      </w:r>
    </w:p>
    <w:p w14:paraId="26C17949" w14:textId="77777777" w:rsidR="00EA26AC" w:rsidRPr="00EA26AC" w:rsidRDefault="00EA26AC" w:rsidP="00EA26AC">
      <w:pPr>
        <w:pStyle w:val="ListParagraph"/>
        <w:numPr>
          <w:ilvl w:val="0"/>
          <w:numId w:val="23"/>
        </w:numPr>
        <w:spacing w:before="120"/>
        <w:jc w:val="left"/>
        <w:rPr>
          <w:rFonts w:ascii="Calibri" w:hAnsi="Calibri" w:cs="Calibri"/>
          <w:b/>
          <w:bCs/>
          <w:lang w:eastAsia="zh-CN"/>
        </w:rPr>
      </w:pPr>
      <w:r w:rsidRPr="00EA26AC">
        <w:rPr>
          <w:rFonts w:ascii="Calibri" w:hAnsi="Calibri" w:cs="Calibri"/>
          <w:b/>
          <w:bCs/>
          <w:lang w:eastAsia="zh-CN"/>
        </w:rPr>
        <w:t>Different deployment scenarios, e.g., UE#1 with UMa while UE#2 with UMi, or UE#1 with LOS while UE#2 with O2I.</w:t>
      </w:r>
    </w:p>
    <w:p w14:paraId="6756B3BE" w14:textId="77777777" w:rsidR="00EA26AC" w:rsidRPr="00EA26AC" w:rsidRDefault="00EA26AC" w:rsidP="00EA26AC">
      <w:pPr>
        <w:pStyle w:val="ListParagraph"/>
        <w:numPr>
          <w:ilvl w:val="0"/>
          <w:numId w:val="23"/>
        </w:numPr>
        <w:spacing w:before="120"/>
        <w:jc w:val="left"/>
        <w:rPr>
          <w:rFonts w:ascii="Calibri" w:hAnsi="Calibri" w:cs="Calibri"/>
          <w:b/>
          <w:bCs/>
          <w:lang w:eastAsia="zh-CN"/>
        </w:rPr>
      </w:pPr>
      <w:r w:rsidRPr="00EA26AC">
        <w:rPr>
          <w:rFonts w:ascii="Calibri" w:hAnsi="Calibri" w:cs="Calibri"/>
          <w:b/>
          <w:bCs/>
          <w:lang w:eastAsia="zh-CN"/>
        </w:rPr>
        <w:t>Different antenna deployments, e.g., UE#1 with (1,1,2,1,1,1,1) while UE#2 with (1,2,1,1,1,1,1) for 2Rx.</w:t>
      </w:r>
    </w:p>
    <w:p w14:paraId="043A7225" w14:textId="77777777" w:rsidR="00EA26AC" w:rsidRPr="00EA26AC" w:rsidRDefault="00EA26AC" w:rsidP="00EA26AC">
      <w:pPr>
        <w:pStyle w:val="ListParagraph"/>
        <w:numPr>
          <w:ilvl w:val="0"/>
          <w:numId w:val="23"/>
        </w:numPr>
        <w:spacing w:before="120"/>
        <w:jc w:val="left"/>
        <w:rPr>
          <w:rFonts w:ascii="Calibri" w:hAnsi="Calibri" w:cs="Calibri"/>
          <w:b/>
          <w:bCs/>
          <w:lang w:eastAsia="zh-CN"/>
        </w:rPr>
      </w:pPr>
      <w:r w:rsidRPr="00EA26AC">
        <w:rPr>
          <w:rFonts w:ascii="Calibri" w:hAnsi="Calibri" w:cs="Calibri"/>
          <w:b/>
          <w:bCs/>
          <w:lang w:eastAsia="zh-CN"/>
        </w:rPr>
        <w:t>Different antenna gain imbalance values.</w:t>
      </w:r>
    </w:p>
    <w:p w14:paraId="3E3479C7" w14:textId="00750B4A" w:rsidR="00EA26AC" w:rsidRDefault="00EA26AC" w:rsidP="00EA26AC">
      <w:pPr>
        <w:pStyle w:val="ListParagraph"/>
        <w:numPr>
          <w:ilvl w:val="0"/>
          <w:numId w:val="23"/>
        </w:numPr>
        <w:spacing w:before="120"/>
        <w:jc w:val="left"/>
        <w:rPr>
          <w:rFonts w:ascii="Calibri" w:hAnsi="Calibri" w:cs="Calibri"/>
          <w:b/>
          <w:bCs/>
          <w:lang w:eastAsia="zh-CN"/>
        </w:rPr>
      </w:pPr>
      <w:r w:rsidRPr="00EA26AC">
        <w:rPr>
          <w:rFonts w:ascii="Calibri" w:hAnsi="Calibri" w:cs="Calibri"/>
          <w:b/>
          <w:bCs/>
          <w:lang w:eastAsia="zh-CN"/>
        </w:rPr>
        <w:t>Other factors are not precluded.</w:t>
      </w:r>
    </w:p>
    <w:p w14:paraId="253EC730" w14:textId="77777777" w:rsidR="00EA26AC" w:rsidRPr="00EA26AC" w:rsidRDefault="00EA26AC" w:rsidP="00EA26AC">
      <w:pPr>
        <w:spacing w:before="120"/>
        <w:jc w:val="left"/>
        <w:rPr>
          <w:rFonts w:ascii="Calibri" w:hAnsi="Calibri" w:cs="Calibri"/>
          <w:b/>
          <w:bCs/>
          <w:lang w:eastAsia="zh-CN"/>
        </w:rPr>
      </w:pPr>
    </w:p>
    <w:p w14:paraId="7EE756ED" w14:textId="21615936" w:rsidR="00913D77" w:rsidRDefault="00913D77" w:rsidP="00913D77">
      <w:pPr>
        <w:spacing w:beforeLines="100" w:before="240"/>
        <w:rPr>
          <w:rFonts w:ascii="Calibri" w:hAnsi="Calibri" w:cs="Calibri"/>
          <w:b/>
          <w:lang w:eastAsia="zh-CN"/>
        </w:rPr>
      </w:pPr>
      <w:r>
        <w:rPr>
          <w:rFonts w:ascii="Calibri" w:hAnsi="Calibri" w:cs="Calibri"/>
          <w:b/>
          <w:lang w:eastAsia="zh-CN"/>
        </w:rPr>
        <w:t xml:space="preserve">Proposal </w:t>
      </w:r>
      <w:r w:rsidR="00EA26AC">
        <w:rPr>
          <w:rFonts w:ascii="Calibri" w:hAnsi="Calibri" w:cs="Calibri"/>
          <w:b/>
          <w:lang w:eastAsia="zh-CN"/>
        </w:rPr>
        <w:t>2</w:t>
      </w:r>
      <w:r>
        <w:rPr>
          <w:rFonts w:ascii="Calibri" w:hAnsi="Calibri" w:cs="Calibri"/>
          <w:b/>
          <w:lang w:eastAsia="zh-CN"/>
        </w:rPr>
        <w:t xml:space="preserve">: </w:t>
      </w:r>
      <w:r w:rsidRPr="002368CC">
        <w:rPr>
          <w:rFonts w:ascii="Calibri" w:hAnsi="Calibri" w:cs="Calibri"/>
          <w:b/>
          <w:lang w:eastAsia="zh-CN"/>
        </w:rPr>
        <w:t xml:space="preserve"> For the evaluation of quantization aware/non-aware training, on top of the agreed cases of quantization non-aware training (Case 1) and quantization aware training (Case 2-1, Case 2-2</w:t>
      </w:r>
      <w:r>
        <w:rPr>
          <w:rFonts w:ascii="Calibri" w:hAnsi="Calibri" w:cs="Calibri"/>
          <w:b/>
          <w:lang w:eastAsia="zh-CN"/>
        </w:rPr>
        <w:t>),</w:t>
      </w:r>
      <w:r w:rsidRPr="002368CC">
        <w:rPr>
          <w:rFonts w:ascii="Calibri" w:hAnsi="Calibri" w:cs="Calibri"/>
          <w:b/>
          <w:lang w:eastAsia="zh-CN"/>
        </w:rPr>
        <w:t xml:space="preserve"> introduce an additional upper bound case of Case 0: non-quantized training and inference (i.e., float-format variables are directly passed from CSI generation part to CSI reconstruction part during the training and inference), to reflect the performance loss due to quantization</w:t>
      </w:r>
      <w:r>
        <w:rPr>
          <w:rFonts w:ascii="Calibri" w:hAnsi="Calibri" w:cs="Calibri"/>
          <w:b/>
          <w:lang w:eastAsia="zh-CN"/>
        </w:rPr>
        <w:t>.</w:t>
      </w:r>
    </w:p>
    <w:p w14:paraId="4A9C6B16" w14:textId="2599FB8A" w:rsidR="008B07E8" w:rsidRDefault="008B07E8" w:rsidP="006B5317">
      <w:pPr>
        <w:autoSpaceDE w:val="0"/>
        <w:autoSpaceDN w:val="0"/>
        <w:adjustRightInd w:val="0"/>
        <w:snapToGrid w:val="0"/>
        <w:spacing w:before="0" w:line="259" w:lineRule="auto"/>
        <w:jc w:val="left"/>
        <w:rPr>
          <w:rFonts w:ascii="Calibri" w:eastAsia="SimSun" w:hAnsi="Calibri" w:cs="Calibri"/>
          <w:b/>
          <w:lang w:eastAsia="zh-CN"/>
        </w:rPr>
      </w:pPr>
    </w:p>
    <w:p w14:paraId="2D8C2F6D" w14:textId="73D0DCE6" w:rsidR="00ED3A29" w:rsidRDefault="00ED3A29" w:rsidP="00ED3A29">
      <w:pPr>
        <w:spacing w:beforeLines="100" w:before="240"/>
        <w:rPr>
          <w:rFonts w:ascii="Calibri" w:hAnsi="Calibri" w:cs="Calibri"/>
          <w:b/>
          <w:lang w:eastAsia="zh-CN"/>
        </w:rPr>
      </w:pPr>
      <w:r w:rsidRPr="00ED3520">
        <w:rPr>
          <w:rFonts w:ascii="Calibri" w:hAnsi="Calibri" w:cs="Calibri"/>
          <w:b/>
          <w:lang w:eastAsia="zh-CN"/>
        </w:rPr>
        <w:t xml:space="preserve">Proposal 3: </w:t>
      </w:r>
      <w:r w:rsidR="00304152" w:rsidRPr="00A169A8">
        <w:rPr>
          <w:rFonts w:ascii="Calibri" w:hAnsi="Calibri" w:cs="Calibri"/>
          <w:b/>
          <w:lang w:eastAsia="zh-CN"/>
        </w:rPr>
        <w:t xml:space="preserve">In CSI compression using two-sided model use case, </w:t>
      </w:r>
      <w:r w:rsidR="00304152">
        <w:rPr>
          <w:rFonts w:ascii="Calibri" w:hAnsi="Calibri" w:cs="Calibri"/>
          <w:b/>
          <w:lang w:eastAsia="zh-CN"/>
        </w:rPr>
        <w:t>discuss</w:t>
      </w:r>
      <w:r w:rsidR="00304152" w:rsidRPr="00A169A8">
        <w:rPr>
          <w:rFonts w:ascii="Calibri" w:hAnsi="Calibri" w:cs="Calibri"/>
          <w:b/>
          <w:lang w:eastAsia="zh-CN"/>
        </w:rPr>
        <w:t xml:space="preserve"> the pros/cons of different offline training collaboration types</w:t>
      </w:r>
      <w:r w:rsidR="00304152">
        <w:rPr>
          <w:rFonts w:ascii="Calibri" w:hAnsi="Calibri" w:cs="Calibri"/>
          <w:b/>
          <w:lang w:eastAsia="zh-CN"/>
        </w:rPr>
        <w:t xml:space="preserve"> and select the training collaboration type(s) for CSI compression </w:t>
      </w:r>
      <w:r w:rsidR="00304152" w:rsidRPr="00ED3520">
        <w:rPr>
          <w:rFonts w:ascii="Calibri" w:hAnsi="Calibri" w:cs="Calibri"/>
          <w:b/>
          <w:lang w:eastAsia="zh-CN"/>
        </w:rPr>
        <w:t>that will be prioritized and later studied in the WI.</w:t>
      </w:r>
    </w:p>
    <w:p w14:paraId="76043F36" w14:textId="77777777" w:rsidR="00ED3A29" w:rsidRPr="00430B4C" w:rsidRDefault="00ED3A29" w:rsidP="00ED3A29">
      <w:pPr>
        <w:pStyle w:val="ListParagraph"/>
        <w:numPr>
          <w:ilvl w:val="0"/>
          <w:numId w:val="27"/>
        </w:numPr>
        <w:spacing w:beforeLines="100" w:before="240"/>
        <w:rPr>
          <w:rFonts w:ascii="Calibri" w:hAnsi="Calibri" w:cs="Calibri"/>
          <w:b/>
          <w:lang w:eastAsia="zh-CN"/>
        </w:rPr>
      </w:pPr>
      <w:r>
        <w:rPr>
          <w:rFonts w:ascii="Calibri" w:hAnsi="Calibri" w:cs="Calibri"/>
          <w:b/>
          <w:lang w:eastAsia="zh-CN"/>
        </w:rPr>
        <w:t>Down selection is based on observations for performance gains, model generalization aspects and model complexity for the different training collaboration types.</w:t>
      </w:r>
    </w:p>
    <w:p w14:paraId="023182A5" w14:textId="34B55A4E" w:rsidR="00216C61" w:rsidRDefault="00602887" w:rsidP="00216C61">
      <w:pPr>
        <w:pStyle w:val="Heading1"/>
      </w:pPr>
      <w:r>
        <w:t>Reference</w:t>
      </w:r>
    </w:p>
    <w:p w14:paraId="15078F06" w14:textId="77777777" w:rsidR="00602887" w:rsidRPr="00602887" w:rsidRDefault="00602887" w:rsidP="00602887"/>
    <w:p w14:paraId="406DA77E" w14:textId="77777777" w:rsidR="00216C61" w:rsidRPr="0006241D" w:rsidRDefault="00216C61" w:rsidP="00216C61">
      <w:pPr>
        <w:pStyle w:val="maintext"/>
        <w:ind w:firstLineChars="0" w:firstLine="0"/>
        <w:rPr>
          <w:rFonts w:ascii="Calibri" w:hAnsi="Calibri"/>
        </w:rPr>
      </w:pPr>
      <w:r w:rsidRPr="0006241D">
        <w:rPr>
          <w:rFonts w:ascii="Calibri" w:hAnsi="Calibri"/>
        </w:rPr>
        <w:t>[1] RP-213599 Study on AI/ML for Air-Interface, RAN#94e.</w:t>
      </w:r>
    </w:p>
    <w:p w14:paraId="49BF656A" w14:textId="77777777" w:rsidR="00216C61" w:rsidRPr="0006241D" w:rsidRDefault="00216C61" w:rsidP="00216C61">
      <w:pPr>
        <w:pStyle w:val="maintext"/>
        <w:ind w:firstLineChars="0" w:firstLine="0"/>
        <w:rPr>
          <w:rFonts w:ascii="Calibri" w:hAnsi="Calibri"/>
        </w:rPr>
      </w:pPr>
      <w:r w:rsidRPr="0006241D">
        <w:rPr>
          <w:rFonts w:ascii="Calibri" w:hAnsi="Calibri"/>
        </w:rPr>
        <w:t>[2] RAN1#109-e Chair’s Notes, e-meeting May 9-20th, 2022</w:t>
      </w:r>
    </w:p>
    <w:p w14:paraId="4EA27FC7" w14:textId="77777777" w:rsidR="00216C61" w:rsidRDefault="00216C61" w:rsidP="00216C61">
      <w:pPr>
        <w:pStyle w:val="maintext"/>
        <w:ind w:firstLineChars="0" w:firstLine="0"/>
        <w:rPr>
          <w:rFonts w:ascii="Calibri" w:hAnsi="Calibri"/>
        </w:rPr>
      </w:pPr>
      <w:r w:rsidRPr="0006241D">
        <w:rPr>
          <w:rFonts w:ascii="Calibri" w:hAnsi="Calibri"/>
        </w:rPr>
        <w:t>[3] RAN1#110 Chair’s Notes, August 22nd – 26th, 2022.</w:t>
      </w:r>
    </w:p>
    <w:p w14:paraId="4B0CE130" w14:textId="2135E1C6" w:rsidR="00216C61" w:rsidRDefault="00216C61" w:rsidP="00216C61">
      <w:pPr>
        <w:pStyle w:val="maintext"/>
        <w:ind w:firstLineChars="0" w:firstLine="0"/>
        <w:rPr>
          <w:rFonts w:ascii="Calibri" w:hAnsi="Calibri"/>
        </w:rPr>
      </w:pPr>
      <w:r>
        <w:rPr>
          <w:rFonts w:ascii="Calibri" w:hAnsi="Calibri"/>
        </w:rPr>
        <w:t xml:space="preserve">[4] </w:t>
      </w:r>
      <w:r w:rsidRPr="0006241D">
        <w:rPr>
          <w:rFonts w:ascii="Calibri" w:hAnsi="Calibri"/>
        </w:rPr>
        <w:t>RAN1#11</w:t>
      </w:r>
      <w:r w:rsidR="00913D77">
        <w:rPr>
          <w:rFonts w:ascii="Calibri" w:hAnsi="Calibri"/>
        </w:rPr>
        <w:t>0</w:t>
      </w:r>
      <w:r>
        <w:rPr>
          <w:rFonts w:ascii="Calibri" w:hAnsi="Calibri"/>
        </w:rPr>
        <w:t>bis-e</w:t>
      </w:r>
      <w:r w:rsidRPr="0006241D">
        <w:rPr>
          <w:rFonts w:ascii="Calibri" w:hAnsi="Calibri"/>
        </w:rPr>
        <w:t xml:space="preserve"> Chair’s Notes, </w:t>
      </w:r>
      <w:r>
        <w:rPr>
          <w:rFonts w:ascii="Calibri" w:hAnsi="Calibri"/>
        </w:rPr>
        <w:t>October 10th</w:t>
      </w:r>
      <w:r w:rsidRPr="0006241D">
        <w:rPr>
          <w:rFonts w:ascii="Calibri" w:hAnsi="Calibri"/>
        </w:rPr>
        <w:t xml:space="preserve"> – </w:t>
      </w:r>
      <w:r>
        <w:rPr>
          <w:rFonts w:ascii="Calibri" w:hAnsi="Calibri"/>
        </w:rPr>
        <w:t>19</w:t>
      </w:r>
      <w:r w:rsidRPr="0006241D">
        <w:rPr>
          <w:rFonts w:ascii="Calibri" w:hAnsi="Calibri"/>
        </w:rPr>
        <w:t>th, 2022.</w:t>
      </w:r>
    </w:p>
    <w:p w14:paraId="3C76F838" w14:textId="03696CB6" w:rsidR="00216C61" w:rsidRDefault="00216C61" w:rsidP="00602887">
      <w:pPr>
        <w:pStyle w:val="maintext"/>
        <w:ind w:firstLineChars="0" w:firstLine="0"/>
        <w:rPr>
          <w:rFonts w:ascii="Calibri" w:hAnsi="Calibri"/>
        </w:rPr>
      </w:pPr>
      <w:r>
        <w:rPr>
          <w:rFonts w:ascii="Calibri" w:hAnsi="Calibri"/>
        </w:rPr>
        <w:t xml:space="preserve">[5] </w:t>
      </w:r>
      <w:r w:rsidRPr="0006241D">
        <w:rPr>
          <w:rFonts w:ascii="Calibri" w:hAnsi="Calibri"/>
        </w:rPr>
        <w:t>RAN1#</w:t>
      </w:r>
      <w:r>
        <w:rPr>
          <w:rFonts w:ascii="Calibri" w:hAnsi="Calibri"/>
        </w:rPr>
        <w:t>11</w:t>
      </w:r>
      <w:r w:rsidR="00913D77">
        <w:rPr>
          <w:rFonts w:ascii="Calibri" w:hAnsi="Calibri"/>
        </w:rPr>
        <w:t>1</w:t>
      </w:r>
      <w:r w:rsidRPr="0006241D">
        <w:rPr>
          <w:rFonts w:ascii="Calibri" w:hAnsi="Calibri"/>
        </w:rPr>
        <w:t xml:space="preserve"> Chair’s Notes, </w:t>
      </w:r>
      <w:r w:rsidRPr="00C100B9">
        <w:rPr>
          <w:rFonts w:ascii="Calibri" w:hAnsi="Calibri"/>
        </w:rPr>
        <w:t>November 14th – 18th, 2022</w:t>
      </w:r>
      <w:r w:rsidRPr="0006241D">
        <w:rPr>
          <w:rFonts w:ascii="Calibri" w:hAnsi="Calibri"/>
        </w:rPr>
        <w:t>.</w:t>
      </w:r>
    </w:p>
    <w:p w14:paraId="176DBE17" w14:textId="28AD8926" w:rsidR="002C6E1C" w:rsidRDefault="002C6E1C" w:rsidP="002C6E1C">
      <w:pPr>
        <w:pStyle w:val="maintext"/>
        <w:ind w:firstLineChars="0" w:firstLine="0"/>
        <w:rPr>
          <w:rFonts w:ascii="Calibri" w:hAnsi="Calibri"/>
          <w:lang w:val="en-US"/>
        </w:rPr>
      </w:pPr>
      <w:r>
        <w:rPr>
          <w:rFonts w:ascii="Calibri" w:hAnsi="Calibri"/>
        </w:rPr>
        <w:t xml:space="preserve">[6] </w:t>
      </w:r>
      <w:r w:rsidRPr="0006241D">
        <w:rPr>
          <w:rFonts w:ascii="Calibri" w:hAnsi="Calibri"/>
        </w:rPr>
        <w:t>RAN1#</w:t>
      </w:r>
      <w:r>
        <w:rPr>
          <w:rFonts w:ascii="Calibri" w:hAnsi="Calibri"/>
        </w:rPr>
        <w:t>112</w:t>
      </w:r>
      <w:r w:rsidRPr="0006241D">
        <w:rPr>
          <w:rFonts w:ascii="Calibri" w:hAnsi="Calibri"/>
        </w:rPr>
        <w:t xml:space="preserve"> Chair’s Notes, </w:t>
      </w:r>
      <w:r w:rsidR="005D20FD" w:rsidRPr="002C6E1C">
        <w:rPr>
          <w:rFonts w:ascii="Calibri" w:hAnsi="Calibri"/>
          <w:lang w:val="en-US"/>
        </w:rPr>
        <w:t>Feb</w:t>
      </w:r>
      <w:r w:rsidR="005D20FD">
        <w:rPr>
          <w:rFonts w:ascii="Calibri" w:hAnsi="Calibri"/>
          <w:lang w:val="en-US"/>
        </w:rPr>
        <w:t>ruary</w:t>
      </w:r>
      <w:r w:rsidRPr="002C6E1C">
        <w:rPr>
          <w:rFonts w:ascii="Calibri" w:hAnsi="Calibri"/>
          <w:lang w:val="en-US"/>
        </w:rPr>
        <w:t xml:space="preserve"> 27</w:t>
      </w:r>
      <w:r w:rsidRPr="002C6E1C">
        <w:rPr>
          <w:rFonts w:ascii="Calibri" w:hAnsi="Calibri"/>
          <w:vertAlign w:val="superscript"/>
          <w:lang w:val="en-US"/>
        </w:rPr>
        <w:t>th</w:t>
      </w:r>
      <w:r w:rsidRPr="002C6E1C">
        <w:rPr>
          <w:rFonts w:ascii="Calibri" w:hAnsi="Calibri"/>
          <w:lang w:val="en-US"/>
        </w:rPr>
        <w:t xml:space="preserve"> – Mar 3</w:t>
      </w:r>
      <w:r w:rsidRPr="002C6E1C">
        <w:rPr>
          <w:rFonts w:ascii="Calibri" w:hAnsi="Calibri"/>
          <w:vertAlign w:val="superscript"/>
          <w:lang w:val="en-US"/>
        </w:rPr>
        <w:t>rd</w:t>
      </w:r>
      <w:r w:rsidRPr="002C6E1C">
        <w:rPr>
          <w:rFonts w:ascii="Calibri" w:hAnsi="Calibri"/>
          <w:lang w:val="en-US"/>
        </w:rPr>
        <w:t>, 2023</w:t>
      </w:r>
    </w:p>
    <w:p w14:paraId="7E7C3331" w14:textId="0EA686AE" w:rsidR="002C6E1C" w:rsidRPr="00602887" w:rsidRDefault="00EA26AC" w:rsidP="00430B4C">
      <w:pPr>
        <w:pStyle w:val="2222"/>
        <w:spacing w:after="120" w:line="288" w:lineRule="auto"/>
        <w:ind w:firstLineChars="0" w:firstLine="0"/>
        <w:jc w:val="left"/>
        <w:rPr>
          <w:rFonts w:ascii="Calibri" w:hAnsi="Calibri"/>
        </w:rPr>
      </w:pPr>
      <w:r>
        <w:rPr>
          <w:rFonts w:cs="Times New Roman"/>
          <w:lang w:eastAsia="ko-KR"/>
        </w:rPr>
        <w:lastRenderedPageBreak/>
        <w:t>[7] RAN1#112bis</w:t>
      </w:r>
      <w:r w:rsidR="008B1860">
        <w:rPr>
          <w:rFonts w:cs="Times New Roman"/>
          <w:lang w:eastAsia="ko-KR"/>
        </w:rPr>
        <w:t>-e</w:t>
      </w:r>
      <w:r w:rsidR="00935375" w:rsidRPr="00935375">
        <w:rPr>
          <w:rFonts w:cs="Times New Roman"/>
          <w:lang w:eastAsia="ko-KR"/>
        </w:rPr>
        <w:t xml:space="preserve"> </w:t>
      </w:r>
      <w:r w:rsidR="00935375">
        <w:rPr>
          <w:rFonts w:cs="Times New Roman"/>
          <w:lang w:eastAsia="ko-KR"/>
        </w:rPr>
        <w:t>Chair’s notes</w:t>
      </w:r>
      <w:r>
        <w:rPr>
          <w:rFonts w:cs="Times New Roman"/>
          <w:lang w:eastAsia="ko-KR"/>
        </w:rPr>
        <w:t>, e-meeting, April 2023.</w:t>
      </w:r>
    </w:p>
    <w:sectPr w:rsidR="002C6E1C" w:rsidRPr="00602887" w:rsidSect="00EB299F">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05E89"/>
    <w:multiLevelType w:val="hybridMultilevel"/>
    <w:tmpl w:val="D4CAE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857AC8"/>
    <w:multiLevelType w:val="hybridMultilevel"/>
    <w:tmpl w:val="27C621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2664A7"/>
    <w:multiLevelType w:val="hybridMultilevel"/>
    <w:tmpl w:val="41EC5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4B15E2"/>
    <w:multiLevelType w:val="hybridMultilevel"/>
    <w:tmpl w:val="8E027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2964F7"/>
    <w:multiLevelType w:val="hybridMultilevel"/>
    <w:tmpl w:val="69380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C60058"/>
    <w:multiLevelType w:val="hybridMultilevel"/>
    <w:tmpl w:val="9E8C0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C031910"/>
    <w:multiLevelType w:val="multilevel"/>
    <w:tmpl w:val="D9C642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02D5BC1"/>
    <w:multiLevelType w:val="hybridMultilevel"/>
    <w:tmpl w:val="AA064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B28A1"/>
    <w:multiLevelType w:val="hybridMultilevel"/>
    <w:tmpl w:val="A56E0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0E2FC0"/>
    <w:multiLevelType w:val="hybridMultilevel"/>
    <w:tmpl w:val="3DB0E8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8331C4"/>
    <w:multiLevelType w:val="hybridMultilevel"/>
    <w:tmpl w:val="B81A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335E47"/>
    <w:multiLevelType w:val="hybridMultilevel"/>
    <w:tmpl w:val="3DF2C9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784AC9"/>
    <w:multiLevelType w:val="hybridMultilevel"/>
    <w:tmpl w:val="80E8C4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67B9647D"/>
    <w:multiLevelType w:val="hybridMultilevel"/>
    <w:tmpl w:val="BE24F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D939D4"/>
    <w:multiLevelType w:val="hybridMultilevel"/>
    <w:tmpl w:val="80DE5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B5A8F"/>
    <w:multiLevelType w:val="hybridMultilevel"/>
    <w:tmpl w:val="CBC00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BE754B"/>
    <w:multiLevelType w:val="hybridMultilevel"/>
    <w:tmpl w:val="1A662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1"/>
  </w:num>
  <w:num w:numId="4">
    <w:abstractNumId w:val="10"/>
  </w:num>
  <w:num w:numId="5">
    <w:abstractNumId w:val="5"/>
  </w:num>
  <w:num w:numId="6">
    <w:abstractNumId w:val="7"/>
  </w:num>
  <w:num w:numId="7">
    <w:abstractNumId w:val="14"/>
  </w:num>
  <w:num w:numId="8">
    <w:abstractNumId w:val="17"/>
  </w:num>
  <w:num w:numId="9">
    <w:abstractNumId w:val="24"/>
  </w:num>
  <w:num w:numId="10">
    <w:abstractNumId w:val="26"/>
  </w:num>
  <w:num w:numId="11">
    <w:abstractNumId w:val="3"/>
  </w:num>
  <w:num w:numId="12">
    <w:abstractNumId w:val="0"/>
  </w:num>
  <w:num w:numId="13">
    <w:abstractNumId w:val="9"/>
  </w:num>
  <w:num w:numId="14">
    <w:abstractNumId w:val="22"/>
  </w:num>
  <w:num w:numId="15">
    <w:abstractNumId w:val="19"/>
  </w:num>
  <w:num w:numId="16">
    <w:abstractNumId w:val="25"/>
  </w:num>
  <w:num w:numId="17">
    <w:abstractNumId w:val="15"/>
  </w:num>
  <w:num w:numId="18">
    <w:abstractNumId w:val="2"/>
  </w:num>
  <w:num w:numId="19">
    <w:abstractNumId w:val="13"/>
  </w:num>
  <w:num w:numId="20">
    <w:abstractNumId w:val="23"/>
  </w:num>
  <w:num w:numId="21">
    <w:abstractNumId w:val="4"/>
  </w:num>
  <w:num w:numId="22">
    <w:abstractNumId w:val="12"/>
  </w:num>
  <w:num w:numId="23">
    <w:abstractNumId w:val="8"/>
  </w:num>
  <w:num w:numId="24">
    <w:abstractNumId w:val="6"/>
  </w:num>
  <w:num w:numId="25">
    <w:abstractNumId w:val="1"/>
  </w:num>
  <w:num w:numId="26">
    <w:abstractNumId w:val="20"/>
  </w:num>
  <w:num w:numId="27">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480"/>
    <w:rsid w:val="000150EF"/>
    <w:rsid w:val="001A2EC8"/>
    <w:rsid w:val="001B4BCA"/>
    <w:rsid w:val="001D6C86"/>
    <w:rsid w:val="00216C61"/>
    <w:rsid w:val="002368CC"/>
    <w:rsid w:val="002B53B7"/>
    <w:rsid w:val="002C6E1C"/>
    <w:rsid w:val="002D6D04"/>
    <w:rsid w:val="00304152"/>
    <w:rsid w:val="00363DDD"/>
    <w:rsid w:val="0036518E"/>
    <w:rsid w:val="003C24F8"/>
    <w:rsid w:val="00430B4C"/>
    <w:rsid w:val="00440A49"/>
    <w:rsid w:val="00450381"/>
    <w:rsid w:val="004E41AA"/>
    <w:rsid w:val="005101A4"/>
    <w:rsid w:val="00524BBF"/>
    <w:rsid w:val="0053513D"/>
    <w:rsid w:val="0054635A"/>
    <w:rsid w:val="0059447F"/>
    <w:rsid w:val="005A2630"/>
    <w:rsid w:val="005C3F36"/>
    <w:rsid w:val="005C704A"/>
    <w:rsid w:val="005D199D"/>
    <w:rsid w:val="005D20FD"/>
    <w:rsid w:val="00602887"/>
    <w:rsid w:val="00606C31"/>
    <w:rsid w:val="00653EF8"/>
    <w:rsid w:val="006B5317"/>
    <w:rsid w:val="006C5C14"/>
    <w:rsid w:val="0071125E"/>
    <w:rsid w:val="00715F6B"/>
    <w:rsid w:val="00717D95"/>
    <w:rsid w:val="00777339"/>
    <w:rsid w:val="007945A5"/>
    <w:rsid w:val="007B7C21"/>
    <w:rsid w:val="007D5480"/>
    <w:rsid w:val="007D6A64"/>
    <w:rsid w:val="007F4639"/>
    <w:rsid w:val="0080008B"/>
    <w:rsid w:val="008119D5"/>
    <w:rsid w:val="00855D3E"/>
    <w:rsid w:val="00883D1B"/>
    <w:rsid w:val="008B07E8"/>
    <w:rsid w:val="008B1860"/>
    <w:rsid w:val="008C0123"/>
    <w:rsid w:val="00913D77"/>
    <w:rsid w:val="0092513C"/>
    <w:rsid w:val="00935375"/>
    <w:rsid w:val="009B0F47"/>
    <w:rsid w:val="00A13969"/>
    <w:rsid w:val="00A3573F"/>
    <w:rsid w:val="00A53A9E"/>
    <w:rsid w:val="00A80FE0"/>
    <w:rsid w:val="00AA07CB"/>
    <w:rsid w:val="00B31912"/>
    <w:rsid w:val="00B93DA4"/>
    <w:rsid w:val="00BA52D0"/>
    <w:rsid w:val="00BB42D2"/>
    <w:rsid w:val="00BB4A15"/>
    <w:rsid w:val="00BC2163"/>
    <w:rsid w:val="00BE26FB"/>
    <w:rsid w:val="00BF3794"/>
    <w:rsid w:val="00C100B9"/>
    <w:rsid w:val="00C25CFB"/>
    <w:rsid w:val="00C37272"/>
    <w:rsid w:val="00C46C8A"/>
    <w:rsid w:val="00C86079"/>
    <w:rsid w:val="00CA35B1"/>
    <w:rsid w:val="00CE7A00"/>
    <w:rsid w:val="00D07305"/>
    <w:rsid w:val="00D229C9"/>
    <w:rsid w:val="00D528AB"/>
    <w:rsid w:val="00D5620F"/>
    <w:rsid w:val="00DF6403"/>
    <w:rsid w:val="00E37014"/>
    <w:rsid w:val="00E6641E"/>
    <w:rsid w:val="00E71E5C"/>
    <w:rsid w:val="00EA26AC"/>
    <w:rsid w:val="00EB299F"/>
    <w:rsid w:val="00ED3520"/>
    <w:rsid w:val="00ED3A29"/>
    <w:rsid w:val="00F37E85"/>
    <w:rsid w:val="00FE7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1E0ED"/>
  <w15:chartTrackingRefBased/>
  <w15:docId w15:val="{58158649-B7CB-4B1D-9F9E-A7CC242C9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13C"/>
    <w:pPr>
      <w:spacing w:before="60" w:after="120" w:line="240" w:lineRule="auto"/>
      <w:jc w:val="both"/>
    </w:pPr>
    <w:rPr>
      <w:rFonts w:ascii="Arial" w:eastAsia="Times New Roman" w:hAnsi="Arial" w:cs="Times New Roman"/>
      <w:sz w:val="20"/>
      <w:szCs w:val="20"/>
    </w:rPr>
  </w:style>
  <w:style w:type="paragraph" w:styleId="Heading1">
    <w:name w:val="heading 1"/>
    <w:aliases w:val="H1"/>
    <w:basedOn w:val="Normal"/>
    <w:next w:val="Normal"/>
    <w:link w:val="Heading1Char"/>
    <w:autoRedefine/>
    <w:qFormat/>
    <w:rsid w:val="00B31912"/>
    <w:pPr>
      <w:keepNext/>
      <w:numPr>
        <w:numId w:val="1"/>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B31912"/>
    <w:pPr>
      <w:keepNext/>
      <w:numPr>
        <w:ilvl w:val="1"/>
        <w:numId w:val="1"/>
      </w:numPr>
      <w:spacing w:after="60"/>
      <w:outlineLvl w:val="1"/>
    </w:pPr>
    <w:rPr>
      <w:b/>
      <w:i/>
      <w:sz w:val="28"/>
    </w:rPr>
  </w:style>
  <w:style w:type="paragraph" w:styleId="Heading3">
    <w:name w:val="heading 3"/>
    <w:basedOn w:val="Normal"/>
    <w:next w:val="Normal"/>
    <w:link w:val="Heading3Char"/>
    <w:qFormat/>
    <w:rsid w:val="00B31912"/>
    <w:pPr>
      <w:keepNext/>
      <w:numPr>
        <w:ilvl w:val="2"/>
        <w:numId w:val="1"/>
      </w:numPr>
      <w:spacing w:before="120" w:after="60"/>
      <w:outlineLvl w:val="2"/>
    </w:pPr>
    <w:rPr>
      <w:b/>
      <w:sz w:val="24"/>
    </w:rPr>
  </w:style>
  <w:style w:type="paragraph" w:styleId="Heading4">
    <w:name w:val="heading 4"/>
    <w:aliases w:val="H4"/>
    <w:basedOn w:val="Normal"/>
    <w:next w:val="Normal"/>
    <w:link w:val="Heading4Char"/>
    <w:qFormat/>
    <w:rsid w:val="00B31912"/>
    <w:pPr>
      <w:keepNext/>
      <w:numPr>
        <w:ilvl w:val="3"/>
        <w:numId w:val="1"/>
      </w:numPr>
      <w:outlineLvl w:val="3"/>
    </w:pPr>
    <w:rPr>
      <w:b/>
      <w:sz w:val="24"/>
      <w:szCs w:val="24"/>
    </w:rPr>
  </w:style>
  <w:style w:type="paragraph" w:styleId="Heading5">
    <w:name w:val="heading 5"/>
    <w:aliases w:val="h5"/>
    <w:basedOn w:val="Normal"/>
    <w:next w:val="Normal"/>
    <w:link w:val="Heading5Char"/>
    <w:rsid w:val="00B31912"/>
    <w:pPr>
      <w:numPr>
        <w:ilvl w:val="4"/>
        <w:numId w:val="1"/>
      </w:numPr>
      <w:spacing w:before="240" w:after="60"/>
      <w:outlineLvl w:val="4"/>
    </w:pPr>
  </w:style>
  <w:style w:type="paragraph" w:styleId="Heading6">
    <w:name w:val="heading 6"/>
    <w:aliases w:val="figure,h6"/>
    <w:basedOn w:val="Normal"/>
    <w:next w:val="Normal"/>
    <w:link w:val="Heading6Char"/>
    <w:rsid w:val="00B31912"/>
    <w:pPr>
      <w:numPr>
        <w:ilvl w:val="5"/>
        <w:numId w:val="1"/>
      </w:numPr>
      <w:spacing w:before="240" w:after="60"/>
      <w:outlineLvl w:val="5"/>
    </w:pPr>
    <w:rPr>
      <w:i/>
    </w:rPr>
  </w:style>
  <w:style w:type="paragraph" w:styleId="Heading7">
    <w:name w:val="heading 7"/>
    <w:aliases w:val="table,st,h7"/>
    <w:basedOn w:val="Normal"/>
    <w:next w:val="Normal"/>
    <w:link w:val="Heading7Char"/>
    <w:rsid w:val="00B31912"/>
    <w:pPr>
      <w:numPr>
        <w:ilvl w:val="6"/>
        <w:numId w:val="1"/>
      </w:numPr>
      <w:spacing w:before="240" w:after="60"/>
      <w:outlineLvl w:val="6"/>
    </w:pPr>
  </w:style>
  <w:style w:type="paragraph" w:styleId="Heading8">
    <w:name w:val="heading 8"/>
    <w:aliases w:val="acronym"/>
    <w:basedOn w:val="Normal"/>
    <w:next w:val="Normal"/>
    <w:link w:val="Heading8Char"/>
    <w:rsid w:val="00B31912"/>
    <w:pPr>
      <w:numPr>
        <w:ilvl w:val="7"/>
        <w:numId w:val="1"/>
      </w:numPr>
      <w:spacing w:before="240" w:after="60"/>
      <w:outlineLvl w:val="7"/>
    </w:pPr>
    <w:rPr>
      <w:i/>
    </w:rPr>
  </w:style>
  <w:style w:type="paragraph" w:styleId="Heading9">
    <w:name w:val="heading 9"/>
    <w:aliases w:val="appendix"/>
    <w:basedOn w:val="Normal"/>
    <w:next w:val="Normal"/>
    <w:link w:val="Heading9Char"/>
    <w:rsid w:val="00B31912"/>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B31912"/>
    <w:rPr>
      <w:rFonts w:ascii="Arial" w:eastAsia="Times New Roman" w:hAnsi="Arial" w:cs="Times New Roman"/>
      <w:b/>
      <w:sz w:val="32"/>
      <w:szCs w:val="20"/>
    </w:rPr>
  </w:style>
  <w:style w:type="character" w:customStyle="1" w:styleId="Heading2Char">
    <w:name w:val="Heading 2 Char"/>
    <w:aliases w:val="H2 Char"/>
    <w:basedOn w:val="DefaultParagraphFont"/>
    <w:link w:val="Heading2"/>
    <w:rsid w:val="00B31912"/>
    <w:rPr>
      <w:rFonts w:ascii="Arial" w:eastAsia="Times New Roman" w:hAnsi="Arial" w:cs="Times New Roman"/>
      <w:b/>
      <w:i/>
      <w:sz w:val="28"/>
      <w:szCs w:val="20"/>
    </w:rPr>
  </w:style>
  <w:style w:type="character" w:customStyle="1" w:styleId="Heading3Char">
    <w:name w:val="Heading 3 Char"/>
    <w:basedOn w:val="DefaultParagraphFont"/>
    <w:link w:val="Heading3"/>
    <w:rsid w:val="00B31912"/>
    <w:rPr>
      <w:rFonts w:ascii="Arial" w:eastAsia="Times New Roman" w:hAnsi="Arial" w:cs="Times New Roman"/>
      <w:b/>
      <w:sz w:val="24"/>
      <w:szCs w:val="20"/>
    </w:rPr>
  </w:style>
  <w:style w:type="character" w:customStyle="1" w:styleId="Heading4Char">
    <w:name w:val="Heading 4 Char"/>
    <w:aliases w:val="H4 Char"/>
    <w:basedOn w:val="DefaultParagraphFont"/>
    <w:link w:val="Heading4"/>
    <w:rsid w:val="00B31912"/>
    <w:rPr>
      <w:rFonts w:ascii="Arial" w:eastAsia="Times New Roman" w:hAnsi="Arial" w:cs="Times New Roman"/>
      <w:b/>
      <w:sz w:val="24"/>
      <w:szCs w:val="24"/>
    </w:rPr>
  </w:style>
  <w:style w:type="character" w:customStyle="1" w:styleId="Heading5Char">
    <w:name w:val="Heading 5 Char"/>
    <w:aliases w:val="h5 Char"/>
    <w:basedOn w:val="DefaultParagraphFont"/>
    <w:link w:val="Heading5"/>
    <w:rsid w:val="00B31912"/>
    <w:rPr>
      <w:rFonts w:ascii="Arial" w:eastAsia="Times New Roman" w:hAnsi="Arial" w:cs="Times New Roman"/>
      <w:sz w:val="20"/>
      <w:szCs w:val="20"/>
    </w:rPr>
  </w:style>
  <w:style w:type="character" w:customStyle="1" w:styleId="Heading6Char">
    <w:name w:val="Heading 6 Char"/>
    <w:aliases w:val="figure Char,h6 Char"/>
    <w:basedOn w:val="DefaultParagraphFont"/>
    <w:link w:val="Heading6"/>
    <w:rsid w:val="00B31912"/>
    <w:rPr>
      <w:rFonts w:ascii="Arial" w:eastAsia="Times New Roman" w:hAnsi="Arial" w:cs="Times New Roman"/>
      <w:i/>
      <w:sz w:val="20"/>
      <w:szCs w:val="20"/>
    </w:rPr>
  </w:style>
  <w:style w:type="character" w:customStyle="1" w:styleId="Heading7Char">
    <w:name w:val="Heading 7 Char"/>
    <w:aliases w:val="table Char,st Char,h7 Char"/>
    <w:basedOn w:val="DefaultParagraphFont"/>
    <w:link w:val="Heading7"/>
    <w:rsid w:val="00B31912"/>
    <w:rPr>
      <w:rFonts w:ascii="Arial" w:eastAsia="Times New Roman" w:hAnsi="Arial" w:cs="Times New Roman"/>
      <w:sz w:val="20"/>
      <w:szCs w:val="20"/>
    </w:rPr>
  </w:style>
  <w:style w:type="character" w:customStyle="1" w:styleId="Heading8Char">
    <w:name w:val="Heading 8 Char"/>
    <w:aliases w:val="acronym Char"/>
    <w:basedOn w:val="DefaultParagraphFont"/>
    <w:link w:val="Heading8"/>
    <w:rsid w:val="00B31912"/>
    <w:rPr>
      <w:rFonts w:ascii="Arial" w:eastAsia="Times New Roman" w:hAnsi="Arial" w:cs="Times New Roman"/>
      <w:i/>
      <w:sz w:val="20"/>
      <w:szCs w:val="20"/>
    </w:rPr>
  </w:style>
  <w:style w:type="character" w:customStyle="1" w:styleId="Heading9Char">
    <w:name w:val="Heading 9 Char"/>
    <w:aliases w:val="appendix Char"/>
    <w:basedOn w:val="DefaultParagraphFont"/>
    <w:link w:val="Heading9"/>
    <w:rsid w:val="00B31912"/>
    <w:rPr>
      <w:rFonts w:ascii="Arial" w:eastAsia="Times New Roman" w:hAnsi="Arial" w:cs="Times New Roman"/>
      <w:b/>
      <w:i/>
      <w:sz w:val="18"/>
      <w:szCs w:val="20"/>
    </w:rPr>
  </w:style>
  <w:style w:type="paragraph" w:styleId="NoSpacing">
    <w:name w:val="No Spacing"/>
    <w:basedOn w:val="Normal"/>
    <w:link w:val="NoSpacingChar"/>
    <w:uiPriority w:val="99"/>
    <w:qFormat/>
    <w:rsid w:val="00B31912"/>
    <w:pPr>
      <w:spacing w:before="0" w:after="0"/>
    </w:pPr>
  </w:style>
  <w:style w:type="character" w:customStyle="1" w:styleId="NoSpacingChar">
    <w:name w:val="No Spacing Char"/>
    <w:link w:val="NoSpacing"/>
    <w:uiPriority w:val="99"/>
    <w:rsid w:val="00B31912"/>
    <w:rPr>
      <w:rFonts w:ascii="Arial" w:eastAsia="Times New Roman" w:hAnsi="Arial" w:cs="Times New Roman"/>
      <w:sz w:val="20"/>
      <w:szCs w:val="2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31912"/>
    <w:pPr>
      <w:ind w:left="720"/>
      <w:contextualSpacing/>
    </w:pPr>
  </w:style>
  <w:style w:type="paragraph" w:customStyle="1" w:styleId="maintext">
    <w:name w:val="main text"/>
    <w:basedOn w:val="Normal"/>
    <w:link w:val="maintextChar"/>
    <w:qFormat/>
    <w:rsid w:val="00B31912"/>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B31912"/>
    <w:rPr>
      <w:rFonts w:ascii="Times New Roman" w:eastAsia="Malgun Gothic" w:hAnsi="Times New Roman" w:cs="Batang"/>
      <w:sz w:val="20"/>
      <w:szCs w:val="20"/>
      <w:lang w:val="en-GB" w:eastAsia="ko-KR"/>
    </w:rPr>
  </w:style>
  <w:style w:type="character" w:customStyle="1" w:styleId="Doc-text2Char">
    <w:name w:val="Doc-text2 Char"/>
    <w:link w:val="Doc-text2"/>
    <w:locked/>
    <w:rsid w:val="00B31912"/>
    <w:rPr>
      <w:rFonts w:ascii="Arial" w:hAnsi="Arial" w:cs="Arial"/>
      <w:lang w:eastAsia="en-GB"/>
    </w:rPr>
  </w:style>
  <w:style w:type="paragraph" w:customStyle="1" w:styleId="Doc-text2">
    <w:name w:val="Doc-text2"/>
    <w:basedOn w:val="Normal"/>
    <w:link w:val="Doc-text2Char"/>
    <w:rsid w:val="00B31912"/>
    <w:pPr>
      <w:overflowPunct w:val="0"/>
      <w:autoSpaceDE w:val="0"/>
      <w:autoSpaceDN w:val="0"/>
      <w:spacing w:before="0" w:after="0"/>
      <w:ind w:left="1622" w:hanging="363"/>
      <w:jc w:val="left"/>
    </w:pPr>
    <w:rPr>
      <w:rFonts w:eastAsiaTheme="minorHAnsi" w:cs="Arial"/>
      <w:sz w:val="22"/>
      <w:szCs w:val="22"/>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B31912"/>
    <w:rPr>
      <w:rFonts w:ascii="Arial" w:eastAsia="Times New Roman" w:hAnsi="Arial" w:cs="Times New Roman"/>
      <w:sz w:val="20"/>
      <w:szCs w:val="20"/>
    </w:rPr>
  </w:style>
  <w:style w:type="character" w:customStyle="1" w:styleId="eop">
    <w:name w:val="eop"/>
    <w:basedOn w:val="DefaultParagraphFont"/>
    <w:rsid w:val="00B31912"/>
  </w:style>
  <w:style w:type="table" w:styleId="TableGrid">
    <w:name w:val="Table Grid"/>
    <w:basedOn w:val="TableNormal"/>
    <w:uiPriority w:val="99"/>
    <w:qFormat/>
    <w:rsid w:val="005C3F36"/>
    <w:pPr>
      <w:widowControl w:val="0"/>
      <w:autoSpaceDE w:val="0"/>
      <w:autoSpaceDN w:val="0"/>
      <w:adjustRightInd w:val="0"/>
      <w:spacing w:after="120"/>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92513C"/>
    <w:pPr>
      <w:widowControl w:val="0"/>
      <w:autoSpaceDE w:val="0"/>
      <w:autoSpaceDN w:val="0"/>
      <w:adjustRightInd w:val="0"/>
      <w:spacing w:after="120"/>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22">
    <w:name w:val="스타일 스타일 스타일 스타일 양쪽 첫 줄:  2 글자 + 첫 줄:  2 글자 + 첫 줄:  2 글자 + 첫 줄:  2..."/>
    <w:basedOn w:val="Normal"/>
    <w:link w:val="2222Char"/>
    <w:rsid w:val="00EA26AC"/>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EA26AC"/>
    <w:rPr>
      <w:rFonts w:ascii="Times New Roman" w:eastAsia="Malgun Gothic" w:hAnsi="Times New Roman" w:cs="Batang"/>
      <w:sz w:val="20"/>
      <w:szCs w:val="20"/>
      <w:lang w:val="en-GB"/>
    </w:rPr>
  </w:style>
  <w:style w:type="character" w:styleId="Hyperlink">
    <w:name w:val="Hyperlink"/>
    <w:uiPriority w:val="99"/>
    <w:semiHidden/>
    <w:unhideWhenUsed/>
    <w:qFormat/>
    <w:rsid w:val="00C46C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973913">
      <w:bodyDiv w:val="1"/>
      <w:marLeft w:val="0"/>
      <w:marRight w:val="0"/>
      <w:marTop w:val="0"/>
      <w:marBottom w:val="0"/>
      <w:divBdr>
        <w:top w:val="none" w:sz="0" w:space="0" w:color="auto"/>
        <w:left w:val="none" w:sz="0" w:space="0" w:color="auto"/>
        <w:bottom w:val="none" w:sz="0" w:space="0" w:color="auto"/>
        <w:right w:val="none" w:sz="0" w:space="0" w:color="auto"/>
      </w:divBdr>
    </w:div>
    <w:div w:id="288322504">
      <w:bodyDiv w:val="1"/>
      <w:marLeft w:val="0"/>
      <w:marRight w:val="0"/>
      <w:marTop w:val="0"/>
      <w:marBottom w:val="0"/>
      <w:divBdr>
        <w:top w:val="none" w:sz="0" w:space="0" w:color="auto"/>
        <w:left w:val="none" w:sz="0" w:space="0" w:color="auto"/>
        <w:bottom w:val="none" w:sz="0" w:space="0" w:color="auto"/>
        <w:right w:val="none" w:sz="0" w:space="0" w:color="auto"/>
      </w:divBdr>
    </w:div>
    <w:div w:id="975918711">
      <w:bodyDiv w:val="1"/>
      <w:marLeft w:val="0"/>
      <w:marRight w:val="0"/>
      <w:marTop w:val="0"/>
      <w:marBottom w:val="0"/>
      <w:divBdr>
        <w:top w:val="none" w:sz="0" w:space="0" w:color="auto"/>
        <w:left w:val="none" w:sz="0" w:space="0" w:color="auto"/>
        <w:bottom w:val="none" w:sz="0" w:space="0" w:color="auto"/>
        <w:right w:val="none" w:sz="0" w:space="0" w:color="auto"/>
      </w:divBdr>
    </w:div>
    <w:div w:id="1027176833">
      <w:bodyDiv w:val="1"/>
      <w:marLeft w:val="0"/>
      <w:marRight w:val="0"/>
      <w:marTop w:val="0"/>
      <w:marBottom w:val="0"/>
      <w:divBdr>
        <w:top w:val="none" w:sz="0" w:space="0" w:color="auto"/>
        <w:left w:val="none" w:sz="0" w:space="0" w:color="auto"/>
        <w:bottom w:val="none" w:sz="0" w:space="0" w:color="auto"/>
        <w:right w:val="none" w:sz="0" w:space="0" w:color="auto"/>
      </w:divBdr>
    </w:div>
    <w:div w:id="1267731688">
      <w:bodyDiv w:val="1"/>
      <w:marLeft w:val="0"/>
      <w:marRight w:val="0"/>
      <w:marTop w:val="0"/>
      <w:marBottom w:val="0"/>
      <w:divBdr>
        <w:top w:val="none" w:sz="0" w:space="0" w:color="auto"/>
        <w:left w:val="none" w:sz="0" w:space="0" w:color="auto"/>
        <w:bottom w:val="none" w:sz="0" w:space="0" w:color="auto"/>
        <w:right w:val="none" w:sz="0" w:space="0" w:color="auto"/>
      </w:divBdr>
    </w:div>
    <w:div w:id="1332610609">
      <w:bodyDiv w:val="1"/>
      <w:marLeft w:val="0"/>
      <w:marRight w:val="0"/>
      <w:marTop w:val="0"/>
      <w:marBottom w:val="0"/>
      <w:divBdr>
        <w:top w:val="none" w:sz="0" w:space="0" w:color="auto"/>
        <w:left w:val="none" w:sz="0" w:space="0" w:color="auto"/>
        <w:bottom w:val="none" w:sz="0" w:space="0" w:color="auto"/>
        <w:right w:val="none" w:sz="0" w:space="0" w:color="auto"/>
      </w:divBdr>
    </w:div>
    <w:div w:id="1435250596">
      <w:bodyDiv w:val="1"/>
      <w:marLeft w:val="0"/>
      <w:marRight w:val="0"/>
      <w:marTop w:val="0"/>
      <w:marBottom w:val="0"/>
      <w:divBdr>
        <w:top w:val="none" w:sz="0" w:space="0" w:color="auto"/>
        <w:left w:val="none" w:sz="0" w:space="0" w:color="auto"/>
        <w:bottom w:val="none" w:sz="0" w:space="0" w:color="auto"/>
        <w:right w:val="none" w:sz="0" w:space="0" w:color="auto"/>
      </w:divBdr>
    </w:div>
    <w:div w:id="1542741870">
      <w:bodyDiv w:val="1"/>
      <w:marLeft w:val="0"/>
      <w:marRight w:val="0"/>
      <w:marTop w:val="0"/>
      <w:marBottom w:val="0"/>
      <w:divBdr>
        <w:top w:val="none" w:sz="0" w:space="0" w:color="auto"/>
        <w:left w:val="none" w:sz="0" w:space="0" w:color="auto"/>
        <w:bottom w:val="none" w:sz="0" w:space="0" w:color="auto"/>
        <w:right w:val="none" w:sz="0" w:space="0" w:color="auto"/>
      </w:divBdr>
    </w:div>
    <w:div w:id="1750495199">
      <w:bodyDiv w:val="1"/>
      <w:marLeft w:val="0"/>
      <w:marRight w:val="0"/>
      <w:marTop w:val="0"/>
      <w:marBottom w:val="0"/>
      <w:divBdr>
        <w:top w:val="none" w:sz="0" w:space="0" w:color="auto"/>
        <w:left w:val="none" w:sz="0" w:space="0" w:color="auto"/>
        <w:bottom w:val="none" w:sz="0" w:space="0" w:color="auto"/>
        <w:right w:val="none" w:sz="0" w:space="0" w:color="auto"/>
      </w:divBdr>
    </w:div>
    <w:div w:id="1849056200">
      <w:bodyDiv w:val="1"/>
      <w:marLeft w:val="0"/>
      <w:marRight w:val="0"/>
      <w:marTop w:val="0"/>
      <w:marBottom w:val="0"/>
      <w:divBdr>
        <w:top w:val="none" w:sz="0" w:space="0" w:color="auto"/>
        <w:left w:val="none" w:sz="0" w:space="0" w:color="auto"/>
        <w:bottom w:val="none" w:sz="0" w:space="0" w:color="auto"/>
        <w:right w:val="none" w:sz="0" w:space="0" w:color="auto"/>
      </w:divBdr>
    </w:div>
    <w:div w:id="189971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it942h\AppData\Local\Temp\Docs\R1-2302904.zip" TargetMode="External"/><Relationship Id="rId13" Type="http://schemas.openxmlformats.org/officeDocument/2006/relationships/hyperlink" Target="file:///C:\Users\it942h\AppData\Local\Temp\Docs\R1-2302918.zip" TargetMode="External"/><Relationship Id="rId18" Type="http://schemas.openxmlformats.org/officeDocument/2006/relationships/hyperlink" Target="file:///C:\Users\it942h\AppData\Local\Temp\Docs\R1-2302918.zip" TargetMode="External"/><Relationship Id="rId26" Type="http://schemas.openxmlformats.org/officeDocument/2006/relationships/hyperlink" Target="file:///C:\Users\it942h\AppData\Local\Temp\Docs\R1-2303336.zip" TargetMode="External"/><Relationship Id="rId3" Type="http://schemas.openxmlformats.org/officeDocument/2006/relationships/settings" Target="settings.xml"/><Relationship Id="rId21" Type="http://schemas.openxmlformats.org/officeDocument/2006/relationships/hyperlink" Target="file:///C:\Users\it942h\AppData\Local\Temp\Docs\R1-2302540.zip" TargetMode="External"/><Relationship Id="rId7" Type="http://schemas.openxmlformats.org/officeDocument/2006/relationships/hyperlink" Target="file:///C:\Users\it942h\AppData\Local\Temp\Docs\R1-2302540.zip" TargetMode="External"/><Relationship Id="rId12" Type="http://schemas.openxmlformats.org/officeDocument/2006/relationships/hyperlink" Target="file:///C:\Users\it942h\AppData\Local\Temp\Docs\R1-2302358.zip" TargetMode="External"/><Relationship Id="rId17" Type="http://schemas.openxmlformats.org/officeDocument/2006/relationships/hyperlink" Target="file:///C:\Users\it942h\AppData\Local\Temp\Docs\R1-2303705.zip" TargetMode="External"/><Relationship Id="rId25" Type="http://schemas.openxmlformats.org/officeDocument/2006/relationships/hyperlink" Target="file:///C:\Users\it942h\AppData\Local\Temp\Docs\R1-2302358.zip" TargetMode="External"/><Relationship Id="rId2" Type="http://schemas.openxmlformats.org/officeDocument/2006/relationships/styles" Target="styles.xml"/><Relationship Id="rId16" Type="http://schemas.openxmlformats.org/officeDocument/2006/relationships/hyperlink" Target="file:///C:\Users\it942h\AppData\Local\Temp\Docs\R1-2303336.zip" TargetMode="External"/><Relationship Id="rId20" Type="http://schemas.openxmlformats.org/officeDocument/2006/relationships/hyperlink" Target="file:///C:\Users\it942h\AppData\Local\Temp\Docs\R1-2303336.zip"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file:///C:\Users\it942h\AppData\Local\Temp\Docs\R1-2302918.zip" TargetMode="External"/><Relationship Id="rId11" Type="http://schemas.openxmlformats.org/officeDocument/2006/relationships/hyperlink" Target="file:///C:\Users\it942h\AppData\Local\Temp\Docs\R1-2303705.zip" TargetMode="External"/><Relationship Id="rId24" Type="http://schemas.openxmlformats.org/officeDocument/2006/relationships/hyperlink" Target="file:///C:\Users\it942h\AppData\Local\Temp\Docs\R1-2302918.zip" TargetMode="External"/><Relationship Id="rId5" Type="http://schemas.openxmlformats.org/officeDocument/2006/relationships/hyperlink" Target="file:///C:\Users\it942h\AppData\Local\Temp\Docs\R1-2302358.zip" TargetMode="External"/><Relationship Id="rId15" Type="http://schemas.openxmlformats.org/officeDocument/2006/relationships/hyperlink" Target="file:///C:\Users\it942h\AppData\Local\Temp\Docs\R1-2303224.zip" TargetMode="External"/><Relationship Id="rId23" Type="http://schemas.openxmlformats.org/officeDocument/2006/relationships/hyperlink" Target="file:///C:\Users\it942h\AppData\Local\Temp\Docs\R1-2303224.zip" TargetMode="External"/><Relationship Id="rId28" Type="http://schemas.openxmlformats.org/officeDocument/2006/relationships/fontTable" Target="fontTable.xml"/><Relationship Id="rId10" Type="http://schemas.openxmlformats.org/officeDocument/2006/relationships/hyperlink" Target="file:///C:\Users\it942h\AppData\Local\Temp\Docs\R1-2303336.zip" TargetMode="External"/><Relationship Id="rId19" Type="http://schemas.openxmlformats.org/officeDocument/2006/relationships/hyperlink" Target="file:///C:\Users\it942h\AppData\Local\Temp\Docs\R1-2302540.zip" TargetMode="External"/><Relationship Id="rId4" Type="http://schemas.openxmlformats.org/officeDocument/2006/relationships/webSettings" Target="webSettings.xml"/><Relationship Id="rId9" Type="http://schemas.openxmlformats.org/officeDocument/2006/relationships/hyperlink" Target="file:///C:\Users\it942h\AppData\Local\Temp\Docs\R1-2303224.zip" TargetMode="External"/><Relationship Id="rId14" Type="http://schemas.openxmlformats.org/officeDocument/2006/relationships/hyperlink" Target="file:///C:\Users\it942h\AppData\Local\Temp\Docs\R1-2302904.zip" TargetMode="External"/><Relationship Id="rId22" Type="http://schemas.openxmlformats.org/officeDocument/2006/relationships/hyperlink" Target="file:///C:\Users\it942h\AppData\Local\Temp\Docs\R1-2302904.zip" TargetMode="External"/><Relationship Id="rId27" Type="http://schemas.openxmlformats.org/officeDocument/2006/relationships/hyperlink" Target="file:///C:\Users\it942h\AppData\Local\Temp\Docs\R1-23037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7764</TotalTime>
  <Pages>5</Pages>
  <Words>2205</Words>
  <Characters>12573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TARIQ, ISFAR</dc:creator>
  <cp:keywords/>
  <dc:description/>
  <cp:lastModifiedBy>TARIQ, ISFAR</cp:lastModifiedBy>
  <cp:revision>32</cp:revision>
  <dcterms:created xsi:type="dcterms:W3CDTF">2023-02-09T20:09:00Z</dcterms:created>
  <dcterms:modified xsi:type="dcterms:W3CDTF">2023-05-13T22:08:00Z</dcterms:modified>
</cp:coreProperties>
</file>